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25"/>
        <w:gridCol w:w="5215"/>
      </w:tblGrid>
      <w:tr w:rsidR="004A1ACA" w:rsidRPr="004A1ACA" w14:paraId="69C9776D" w14:textId="77777777" w:rsidTr="00746AF0">
        <w:trPr>
          <w:trHeight w:val="360"/>
          <w:jc w:val="center"/>
        </w:trPr>
        <w:tc>
          <w:tcPr>
            <w:tcW w:w="4135" w:type="dxa"/>
            <w:gridSpan w:val="2"/>
            <w:shd w:val="clear" w:color="auto" w:fill="015294"/>
            <w:vAlign w:val="center"/>
          </w:tcPr>
          <w:p w14:paraId="2F0600E9" w14:textId="77777777" w:rsidR="004A1ACA" w:rsidRPr="00500BA4" w:rsidRDefault="004A1ACA" w:rsidP="0057695B">
            <w:pPr>
              <w:tabs>
                <w:tab w:val="left" w:pos="3346"/>
              </w:tabs>
              <w:spacing w:line="200" w:lineRule="exact"/>
              <w:ind w:right="-389"/>
              <w:jc w:val="center"/>
              <w:rPr>
                <w:rFonts w:ascii="Verdana" w:hAnsi="Verdana"/>
                <w:noProof/>
                <w:color w:val="0070C0"/>
                <w:sz w:val="19"/>
                <w:szCs w:val="19"/>
              </w:rPr>
            </w:pPr>
          </w:p>
        </w:tc>
        <w:tc>
          <w:tcPr>
            <w:tcW w:w="5215" w:type="dxa"/>
            <w:shd w:val="clear" w:color="auto" w:fill="015294"/>
            <w:vAlign w:val="center"/>
          </w:tcPr>
          <w:p w14:paraId="145DB3DA" w14:textId="77777777" w:rsidR="004A1ACA" w:rsidRPr="00500BA4" w:rsidRDefault="004A1ACA" w:rsidP="0057695B">
            <w:pPr>
              <w:spacing w:line="200" w:lineRule="exact"/>
              <w:ind w:right="-389"/>
              <w:jc w:val="center"/>
              <w:rPr>
                <w:rFonts w:ascii="Verdana" w:hAnsi="Verdana"/>
                <w:noProof/>
                <w:color w:val="0070C0"/>
                <w:sz w:val="19"/>
                <w:szCs w:val="19"/>
              </w:rPr>
            </w:pPr>
          </w:p>
        </w:tc>
      </w:tr>
      <w:tr w:rsidR="00400EBD" w14:paraId="28F4D82B" w14:textId="77777777" w:rsidTr="009826C3">
        <w:trPr>
          <w:jc w:val="center"/>
        </w:trPr>
        <w:tc>
          <w:tcPr>
            <w:tcW w:w="4135" w:type="dxa"/>
            <w:gridSpan w:val="2"/>
          </w:tcPr>
          <w:p w14:paraId="70F78A81" w14:textId="77777777" w:rsidR="00400EBD" w:rsidRDefault="00400EBD" w:rsidP="00400EBD">
            <w:pPr>
              <w:tabs>
                <w:tab w:val="left" w:pos="3346"/>
              </w:tabs>
              <w:spacing w:line="80" w:lineRule="exact"/>
              <w:ind w:right="-382"/>
              <w:jc w:val="center"/>
              <w:rPr>
                <w:noProof/>
              </w:rPr>
            </w:pPr>
          </w:p>
        </w:tc>
        <w:tc>
          <w:tcPr>
            <w:tcW w:w="5215" w:type="dxa"/>
          </w:tcPr>
          <w:p w14:paraId="63896502" w14:textId="77777777" w:rsidR="00400EBD" w:rsidRDefault="00400EBD" w:rsidP="00400EBD">
            <w:pPr>
              <w:spacing w:line="80" w:lineRule="exact"/>
              <w:ind w:left="158"/>
              <w:rPr>
                <w:rFonts w:ascii="Verdana" w:eastAsia="Times New Roman" w:hAnsi="Verdana" w:cs="Times New Roman"/>
                <w:b/>
                <w:bCs/>
                <w:color w:val="015190"/>
                <w:sz w:val="24"/>
                <w:szCs w:val="24"/>
              </w:rPr>
            </w:pPr>
          </w:p>
        </w:tc>
      </w:tr>
      <w:tr w:rsidR="00426BE0" w14:paraId="0C70348F" w14:textId="77777777" w:rsidTr="00887BC4">
        <w:trPr>
          <w:jc w:val="center"/>
        </w:trPr>
        <w:tc>
          <w:tcPr>
            <w:tcW w:w="3510" w:type="dxa"/>
            <w:tcBorders>
              <w:right w:val="single" w:sz="12" w:space="0" w:color="015190"/>
            </w:tcBorders>
          </w:tcPr>
          <w:p w14:paraId="5415A650" w14:textId="77777777" w:rsidR="00426BE0" w:rsidRDefault="004A1ACA" w:rsidP="00BC5E21">
            <w:pPr>
              <w:tabs>
                <w:tab w:val="left" w:pos="3346"/>
              </w:tabs>
              <w:ind w:right="-382"/>
              <w:jc w:val="center"/>
              <w:rPr>
                <w:noProof/>
              </w:rPr>
            </w:pPr>
            <w:r>
              <w:rPr>
                <w:noProof/>
              </w:rPr>
              <w:drawing>
                <wp:anchor distT="274320" distB="0" distL="114300" distR="114300" simplePos="0" relativeHeight="251658240" behindDoc="0" locked="0" layoutInCell="1" allowOverlap="1" wp14:anchorId="130B31CE" wp14:editId="2F825EB7">
                  <wp:simplePos x="0" y="0"/>
                  <wp:positionH relativeFrom="column">
                    <wp:posOffset>639445</wp:posOffset>
                  </wp:positionH>
                  <wp:positionV relativeFrom="paragraph">
                    <wp:posOffset>191549</wp:posOffset>
                  </wp:positionV>
                  <wp:extent cx="1591056" cy="64008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91056" cy="640080"/>
                          </a:xfrm>
                          <a:prstGeom prst="rect">
                            <a:avLst/>
                          </a:prstGeom>
                        </pic:spPr>
                      </pic:pic>
                    </a:graphicData>
                  </a:graphic>
                  <wp14:sizeRelH relativeFrom="margin">
                    <wp14:pctWidth>0</wp14:pctWidth>
                  </wp14:sizeRelH>
                  <wp14:sizeRelV relativeFrom="margin">
                    <wp14:pctHeight>0</wp14:pctHeight>
                  </wp14:sizeRelV>
                </wp:anchor>
              </w:drawing>
            </w:r>
          </w:p>
        </w:tc>
        <w:tc>
          <w:tcPr>
            <w:tcW w:w="5840" w:type="dxa"/>
            <w:gridSpan w:val="2"/>
            <w:tcBorders>
              <w:left w:val="single" w:sz="12" w:space="0" w:color="015190"/>
            </w:tcBorders>
          </w:tcPr>
          <w:p w14:paraId="5D9A29D8" w14:textId="77777777" w:rsidR="00426BE0" w:rsidRPr="00500BA4" w:rsidRDefault="002C5697" w:rsidP="009A73A9">
            <w:pPr>
              <w:spacing w:before="120" w:line="240" w:lineRule="exact"/>
              <w:ind w:left="158"/>
              <w:rPr>
                <w:rFonts w:ascii="Verdana" w:eastAsia="Times New Roman" w:hAnsi="Verdana" w:cs="Times New Roman"/>
                <w:b/>
                <w:bCs/>
                <w:color w:val="015294"/>
                <w:sz w:val="24"/>
                <w:szCs w:val="24"/>
              </w:rPr>
            </w:pPr>
            <w:r>
              <w:rPr>
                <w:rFonts w:ascii="Verdana" w:eastAsia="Times New Roman" w:hAnsi="Verdana" w:cs="Times New Roman"/>
                <w:b/>
                <w:bCs/>
                <w:color w:val="015294"/>
                <w:sz w:val="24"/>
                <w:szCs w:val="24"/>
              </w:rPr>
              <w:t xml:space="preserve">Associated Builders and Contractors of Alabama </w:t>
            </w:r>
          </w:p>
          <w:p w14:paraId="7E443B0D" w14:textId="3E1BDE42" w:rsidR="00426BE0" w:rsidRPr="00500BA4" w:rsidRDefault="00426BE0" w:rsidP="00E50F38">
            <w:pPr>
              <w:spacing w:before="60" w:line="200" w:lineRule="exact"/>
              <w:ind w:left="158"/>
              <w:rPr>
                <w:rFonts w:ascii="Verdana" w:eastAsia="Times New Roman" w:hAnsi="Verdana" w:cs="Times New Roman"/>
                <w:color w:val="015294"/>
                <w:sz w:val="19"/>
                <w:szCs w:val="19"/>
              </w:rPr>
            </w:pPr>
            <w:r w:rsidRPr="00500BA4">
              <w:rPr>
                <w:rFonts w:ascii="Verdana" w:eastAsia="Times New Roman" w:hAnsi="Verdana" w:cs="Times New Roman"/>
                <w:b/>
                <w:color w:val="015294"/>
                <w:sz w:val="19"/>
                <w:szCs w:val="19"/>
              </w:rPr>
              <w:t>Situs State</w:t>
            </w:r>
            <w:r w:rsidRPr="00500BA4">
              <w:rPr>
                <w:rFonts w:ascii="Verdana" w:eastAsia="Times New Roman" w:hAnsi="Verdana" w:cs="Times New Roman"/>
                <w:color w:val="015294"/>
                <w:sz w:val="19"/>
                <w:szCs w:val="19"/>
              </w:rPr>
              <w:t xml:space="preserve">: </w:t>
            </w:r>
            <w:r w:rsidR="002C5697">
              <w:rPr>
                <w:rFonts w:ascii="Verdana" w:eastAsia="Times New Roman" w:hAnsi="Verdana" w:cs="Times New Roman"/>
                <w:color w:val="015294"/>
                <w:sz w:val="19"/>
                <w:szCs w:val="19"/>
              </w:rPr>
              <w:t>AL</w:t>
            </w:r>
          </w:p>
          <w:p w14:paraId="1A9A5E08" w14:textId="4D498352" w:rsidR="00426BE0" w:rsidRPr="00500BA4" w:rsidRDefault="00426BE0" w:rsidP="00E50F38">
            <w:pPr>
              <w:spacing w:before="60" w:line="200" w:lineRule="exact"/>
              <w:ind w:left="158"/>
              <w:rPr>
                <w:rFonts w:ascii="Verdana" w:eastAsia="Times New Roman" w:hAnsi="Verdana" w:cs="Times New Roman"/>
                <w:color w:val="015294"/>
                <w:sz w:val="19"/>
                <w:szCs w:val="19"/>
              </w:rPr>
            </w:pPr>
            <w:r w:rsidRPr="00500BA4">
              <w:rPr>
                <w:rFonts w:ascii="Verdana" w:eastAsia="Times New Roman" w:hAnsi="Verdana" w:cs="Times New Roman"/>
                <w:b/>
                <w:color w:val="015294"/>
                <w:sz w:val="19"/>
                <w:szCs w:val="19"/>
              </w:rPr>
              <w:t>Presented by</w:t>
            </w:r>
            <w:r w:rsidR="004A1ACA" w:rsidRPr="00500BA4">
              <w:rPr>
                <w:rFonts w:ascii="Verdana" w:eastAsia="Times New Roman" w:hAnsi="Verdana" w:cs="Times New Roman"/>
                <w:color w:val="015294"/>
                <w:sz w:val="19"/>
                <w:szCs w:val="19"/>
              </w:rPr>
              <w:t xml:space="preserve">: </w:t>
            </w:r>
            <w:r w:rsidR="002C5697">
              <w:rPr>
                <w:rFonts w:ascii="Verdana" w:eastAsia="Times New Roman" w:hAnsi="Verdana" w:cs="Times New Roman"/>
                <w:color w:val="015294"/>
                <w:sz w:val="19"/>
                <w:szCs w:val="19"/>
              </w:rPr>
              <w:t xml:space="preserve">JH Berry Risk Services </w:t>
            </w:r>
          </w:p>
          <w:p w14:paraId="0C852D48" w14:textId="764004BB" w:rsidR="009E3E83" w:rsidRPr="00500BA4" w:rsidRDefault="002C5697" w:rsidP="0057695B">
            <w:pPr>
              <w:spacing w:before="20" w:line="200" w:lineRule="exact"/>
              <w:ind w:left="158"/>
              <w:rPr>
                <w:rFonts w:ascii="Verdana" w:eastAsia="Times New Roman" w:hAnsi="Verdana" w:cs="Times New Roman"/>
                <w:color w:val="015294"/>
                <w:sz w:val="19"/>
                <w:szCs w:val="19"/>
              </w:rPr>
            </w:pPr>
            <w:r>
              <w:rPr>
                <w:rFonts w:ascii="Verdana" w:eastAsia="Times New Roman" w:hAnsi="Verdana" w:cs="Times New Roman"/>
                <w:b/>
                <w:color w:val="015294"/>
                <w:sz w:val="19"/>
                <w:szCs w:val="19"/>
              </w:rPr>
              <w:t>Proposed Effective Date:</w:t>
            </w:r>
            <w:r w:rsidR="009E3E83">
              <w:rPr>
                <w:rFonts w:ascii="Verdana" w:eastAsia="Times New Roman" w:hAnsi="Verdana" w:cs="Times New Roman"/>
                <w:color w:val="015294"/>
                <w:sz w:val="19"/>
                <w:szCs w:val="19"/>
              </w:rPr>
              <w:t xml:space="preserve"> </w:t>
            </w:r>
            <w:r>
              <w:rPr>
                <w:rFonts w:ascii="Verdana" w:eastAsia="Times New Roman" w:hAnsi="Verdana" w:cs="Times New Roman"/>
                <w:color w:val="015294"/>
                <w:sz w:val="19"/>
                <w:szCs w:val="19"/>
              </w:rPr>
              <w:t>October 1, 2024</w:t>
            </w:r>
          </w:p>
          <w:p w14:paraId="08FC0928" w14:textId="77777777" w:rsidR="00832034" w:rsidRPr="006E3160" w:rsidRDefault="00832034" w:rsidP="006E3160">
            <w:pPr>
              <w:spacing w:line="160" w:lineRule="exact"/>
              <w:ind w:left="158"/>
              <w:rPr>
                <w:rFonts w:ascii="Verdana" w:eastAsia="Times New Roman" w:hAnsi="Verdana" w:cs="Times New Roman"/>
                <w:b/>
                <w:color w:val="015294"/>
                <w:sz w:val="16"/>
                <w:szCs w:val="16"/>
              </w:rPr>
            </w:pPr>
          </w:p>
          <w:p w14:paraId="47F7E746" w14:textId="5DE7DB2E" w:rsidR="004A1ACA" w:rsidRPr="00832034" w:rsidRDefault="00832034" w:rsidP="00746AF0">
            <w:pPr>
              <w:spacing w:line="190" w:lineRule="exact"/>
              <w:ind w:left="158"/>
              <w:rPr>
                <w:rFonts w:ascii="Verdana" w:eastAsia="Times New Roman" w:hAnsi="Verdana" w:cs="Times New Roman"/>
                <w:i/>
                <w:iCs/>
                <w:color w:val="015190"/>
                <w:sz w:val="19"/>
                <w:szCs w:val="19"/>
              </w:rPr>
            </w:pPr>
            <w:r w:rsidRPr="00832034">
              <w:rPr>
                <w:rFonts w:ascii="Verdana" w:eastAsia="Times New Roman" w:hAnsi="Verdana" w:cs="Times New Roman"/>
                <w:b/>
                <w:i/>
                <w:iCs/>
                <w:color w:val="015294"/>
                <w:sz w:val="19"/>
                <w:szCs w:val="19"/>
              </w:rPr>
              <w:t>Date of Proposal</w:t>
            </w:r>
            <w:r w:rsidRPr="00832034">
              <w:rPr>
                <w:rFonts w:ascii="Verdana" w:eastAsia="Times New Roman" w:hAnsi="Verdana" w:cs="Times New Roman"/>
                <w:i/>
                <w:iCs/>
                <w:color w:val="015294"/>
                <w:sz w:val="19"/>
                <w:szCs w:val="19"/>
              </w:rPr>
              <w:t xml:space="preserve">: </w:t>
            </w:r>
            <w:r w:rsidR="002C5697">
              <w:rPr>
                <w:rFonts w:ascii="Verdana" w:eastAsia="Times New Roman" w:hAnsi="Verdana" w:cs="Times New Roman"/>
                <w:i/>
                <w:iCs/>
                <w:color w:val="015294"/>
                <w:sz w:val="19"/>
                <w:szCs w:val="19"/>
              </w:rPr>
              <w:t>July 25, 2024</w:t>
            </w:r>
          </w:p>
        </w:tc>
      </w:tr>
    </w:tbl>
    <w:p w14:paraId="479D1A68" w14:textId="77777777" w:rsidR="0045758F" w:rsidRPr="00AA2D31" w:rsidRDefault="0045758F" w:rsidP="00AA2D31">
      <w:pPr>
        <w:spacing w:after="0" w:line="160" w:lineRule="exact"/>
        <w:rPr>
          <w:noProof/>
          <w:sz w:val="16"/>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E5E6F" w14:paraId="18CA3795" w14:textId="77777777" w:rsidTr="006F7A7E">
        <w:tc>
          <w:tcPr>
            <w:tcW w:w="9350" w:type="dxa"/>
          </w:tcPr>
          <w:p w14:paraId="710AD40E" w14:textId="77777777" w:rsidR="00DE5E6F" w:rsidRPr="00500BA4" w:rsidRDefault="00DE5E6F" w:rsidP="00855ED7">
            <w:pPr>
              <w:spacing w:line="240" w:lineRule="exact"/>
              <w:ind w:left="158"/>
              <w:jc w:val="center"/>
              <w:rPr>
                <w:rFonts w:ascii="Verdana" w:hAnsi="Verdana"/>
                <w:b/>
                <w:noProof/>
                <w:color w:val="015294"/>
                <w:sz w:val="24"/>
                <w:szCs w:val="24"/>
              </w:rPr>
            </w:pPr>
            <w:bookmarkStart w:id="0" w:name="TopOfTheDoc"/>
            <w:bookmarkEnd w:id="0"/>
            <w:r w:rsidRPr="00500BA4">
              <w:rPr>
                <w:rFonts w:ascii="Verdana" w:hAnsi="Verdana"/>
                <w:b/>
                <w:noProof/>
                <w:color w:val="015294"/>
                <w:sz w:val="24"/>
                <w:szCs w:val="24"/>
              </w:rPr>
              <w:t xml:space="preserve">Better </w:t>
            </w:r>
            <w:r w:rsidR="00791E80" w:rsidRPr="00500BA4">
              <w:rPr>
                <w:rFonts w:ascii="Verdana" w:hAnsi="Verdana"/>
                <w:b/>
                <w:noProof/>
                <w:color w:val="015294"/>
                <w:sz w:val="24"/>
                <w:szCs w:val="24"/>
              </w:rPr>
              <w:t>B</w:t>
            </w:r>
            <w:r w:rsidRPr="00500BA4">
              <w:rPr>
                <w:rFonts w:ascii="Verdana" w:hAnsi="Verdana"/>
                <w:b/>
                <w:noProof/>
                <w:color w:val="015294"/>
                <w:sz w:val="24"/>
                <w:szCs w:val="24"/>
              </w:rPr>
              <w:t xml:space="preserve">enefits </w:t>
            </w:r>
            <w:r w:rsidR="00791E80" w:rsidRPr="00500BA4">
              <w:rPr>
                <w:rFonts w:ascii="Verdana" w:hAnsi="Verdana"/>
                <w:b/>
                <w:noProof/>
                <w:color w:val="015294"/>
                <w:sz w:val="24"/>
                <w:szCs w:val="24"/>
              </w:rPr>
              <w:t>A</w:t>
            </w:r>
            <w:r w:rsidRPr="00500BA4">
              <w:rPr>
                <w:rFonts w:ascii="Verdana" w:hAnsi="Verdana"/>
                <w:b/>
                <w:noProof/>
                <w:color w:val="015294"/>
                <w:sz w:val="24"/>
                <w:szCs w:val="24"/>
              </w:rPr>
              <w:t>head</w:t>
            </w:r>
          </w:p>
          <w:p w14:paraId="477619D7" w14:textId="77777777" w:rsidR="00DE5E6F" w:rsidRPr="00694AC7" w:rsidRDefault="00694AC7" w:rsidP="009A73A9">
            <w:pPr>
              <w:spacing w:before="40" w:line="190" w:lineRule="exact"/>
              <w:ind w:left="158"/>
              <w:jc w:val="center"/>
              <w:rPr>
                <w:rFonts w:ascii="Verdana" w:hAnsi="Verdana"/>
                <w:noProof/>
                <w:sz w:val="19"/>
                <w:szCs w:val="19"/>
              </w:rPr>
            </w:pPr>
            <w:r w:rsidRPr="00694AC7">
              <w:rPr>
                <w:rFonts w:ascii="Verdana" w:hAnsi="Verdana"/>
                <w:sz w:val="19"/>
                <w:szCs w:val="19"/>
              </w:rPr>
              <w:t xml:space="preserve">At Unum, we help millions of employees protect their families, their finances </w:t>
            </w:r>
            <w:r w:rsidR="0057695B">
              <w:rPr>
                <w:rFonts w:ascii="Verdana" w:hAnsi="Verdana"/>
                <w:sz w:val="19"/>
                <w:szCs w:val="19"/>
              </w:rPr>
              <w:t>and</w:t>
            </w:r>
            <w:r w:rsidRPr="00694AC7">
              <w:rPr>
                <w:rFonts w:ascii="Verdana" w:hAnsi="Verdana"/>
                <w:sz w:val="19"/>
                <w:szCs w:val="19"/>
              </w:rPr>
              <w:t xml:space="preserve"> their futures. Comprehensive coverages, superior technology and unparalleled support — delivered where and when it’s needed most.</w:t>
            </w:r>
          </w:p>
        </w:tc>
      </w:tr>
    </w:tbl>
    <w:p w14:paraId="20C306E1" w14:textId="77777777" w:rsidR="00DE5E6F" w:rsidRPr="00746AF0" w:rsidRDefault="00DE5E6F" w:rsidP="00746AF0">
      <w:pPr>
        <w:spacing w:after="0" w:line="100" w:lineRule="exact"/>
        <w:rPr>
          <w:noProof/>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360"/>
        <w:gridCol w:w="360"/>
        <w:gridCol w:w="2160"/>
        <w:gridCol w:w="2160"/>
      </w:tblGrid>
      <w:tr w:rsidR="00E50839" w14:paraId="62E96B69" w14:textId="77777777" w:rsidTr="0057695B">
        <w:trPr>
          <w:trHeight w:val="5472"/>
        </w:trPr>
        <w:tc>
          <w:tcPr>
            <w:tcW w:w="4320" w:type="dxa"/>
            <w:tcBorders>
              <w:bottom w:val="single" w:sz="12" w:space="0" w:color="015190"/>
            </w:tcBorders>
            <w:shd w:val="clear" w:color="auto" w:fill="D9D9D9" w:themeFill="background1" w:themeFillShade="D9"/>
          </w:tcPr>
          <w:p w14:paraId="74EB9E9B" w14:textId="77777777" w:rsidR="00E50839" w:rsidRPr="009826C3" w:rsidRDefault="00E50839" w:rsidP="00830906">
            <w:pPr>
              <w:spacing w:before="120" w:line="280" w:lineRule="exact"/>
              <w:ind w:left="166" w:right="446"/>
              <w:rPr>
                <w:rFonts w:ascii="Verdana" w:hAnsi="Verdana"/>
                <w:b/>
                <w:noProof/>
                <w:color w:val="015294"/>
                <w:sz w:val="24"/>
                <w:szCs w:val="24"/>
              </w:rPr>
            </w:pPr>
            <w:r w:rsidRPr="009826C3">
              <w:rPr>
                <w:rFonts w:ascii="Verdana" w:hAnsi="Verdana"/>
                <w:b/>
                <w:noProof/>
                <w:color w:val="015294"/>
                <w:sz w:val="24"/>
                <w:szCs w:val="24"/>
              </w:rPr>
              <w:t>Benefits Proposed</w:t>
            </w:r>
          </w:p>
          <w:bookmarkStart w:id="1" w:name="ProposeSTD"/>
          <w:p w14:paraId="1DC06269" w14:textId="77777777" w:rsidR="00E50839" w:rsidRPr="00830906" w:rsidRDefault="00B47F25" w:rsidP="009A58EF">
            <w:pPr>
              <w:pStyle w:val="ListParagraph"/>
              <w:numPr>
                <w:ilvl w:val="0"/>
                <w:numId w:val="19"/>
              </w:numPr>
              <w:spacing w:line="280" w:lineRule="exact"/>
              <w:ind w:left="526" w:right="447"/>
              <w:rPr>
                <w:rFonts w:ascii="Verdana" w:hAnsi="Verdana"/>
                <w:noProof/>
                <w:sz w:val="18"/>
                <w:szCs w:val="18"/>
              </w:rPr>
            </w:pPr>
            <w:r>
              <w:rPr>
                <w:rFonts w:ascii="Verdana" w:hAnsi="Verdana"/>
                <w:noProof/>
                <w:sz w:val="18"/>
                <w:szCs w:val="18"/>
              </w:rPr>
              <mc:AlternateContent>
                <mc:Choice Requires="wps">
                  <w:drawing>
                    <wp:anchor distT="0" distB="0" distL="114300" distR="114300" simplePos="0" relativeHeight="251684864" behindDoc="0" locked="0" layoutInCell="1" allowOverlap="1" wp14:anchorId="7D3664D3" wp14:editId="2AC6DACE">
                      <wp:simplePos x="0" y="0"/>
                      <wp:positionH relativeFrom="column">
                        <wp:posOffset>95250</wp:posOffset>
                      </wp:positionH>
                      <wp:positionV relativeFrom="paragraph">
                        <wp:posOffset>42545</wp:posOffset>
                      </wp:positionV>
                      <wp:extent cx="104775" cy="108585"/>
                      <wp:effectExtent l="0" t="0" r="28575" b="24765"/>
                      <wp:wrapNone/>
                      <wp:docPr id="19" name="Oval 19"/>
                      <wp:cNvGraphicFramePr/>
                      <a:graphic xmlns:a="http://schemas.openxmlformats.org/drawingml/2006/main">
                        <a:graphicData uri="http://schemas.microsoft.com/office/word/2010/wordprocessingShape">
                          <wps:wsp>
                            <wps:cNvSpPr/>
                            <wps:spPr>
                              <a:xfrm>
                                <a:off x="0" y="0"/>
                                <a:ext cx="104775" cy="108585"/>
                              </a:xfrm>
                              <a:prstGeom prst="ellipse">
                                <a:avLst/>
                              </a:prstGeom>
                              <a:solidFill>
                                <a:srgbClr val="00A9CE"/>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28962DB" id="Oval 19" o:spid="_x0000_s1026" style="position:absolute;margin-left:7.5pt;margin-top:3.35pt;width:8.25pt;height:8.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" fillcolor="#00a9ce" strokecolor="#7f7f7f [1612]" strokeweight=".25pt">
                      <v:stroke joinstyle="miter"/>
                    </v:oval>
                  </w:pict>
                </mc:Fallback>
              </mc:AlternateContent>
            </w:r>
            <w:r w:rsidR="00E50839" w:rsidRPr="00830906">
              <w:rPr>
                <w:rFonts w:ascii="Verdana" w:hAnsi="Verdana"/>
                <w:noProof/>
                <w:sz w:val="18"/>
                <w:szCs w:val="18"/>
              </w:rPr>
              <w:t>Short Term Disability</w:t>
            </w:r>
          </w:p>
          <w:bookmarkEnd w:id="1"/>
          <w:p w14:paraId="215D588B" w14:textId="77777777" w:rsidR="004410C5" w:rsidRPr="00A76CCC" w:rsidRDefault="004410C5" w:rsidP="00A76CCC">
            <w:pPr>
              <w:spacing w:before="1080" w:line="280" w:lineRule="exact"/>
              <w:ind w:left="173" w:right="446"/>
              <w:rPr>
                <w:rFonts w:ascii="Verdana" w:hAnsi="Verdana"/>
                <w:noProof/>
                <w:sz w:val="19"/>
                <w:szCs w:val="19"/>
              </w:rPr>
            </w:pPr>
            <w:r w:rsidRPr="00A76CCC">
              <w:rPr>
                <w:rFonts w:ascii="Verdana" w:hAnsi="Verdana"/>
                <w:i/>
                <w:noProof/>
                <w:sz w:val="19"/>
                <w:szCs w:val="19"/>
              </w:rPr>
              <w:t>Employer and Employee funding methods are available for the benefits above.</w:t>
            </w:r>
          </w:p>
        </w:tc>
        <w:tc>
          <w:tcPr>
            <w:tcW w:w="360" w:type="dxa"/>
            <w:tcBorders>
              <w:left w:val="nil"/>
            </w:tcBorders>
            <w:shd w:val="clear" w:color="auto" w:fill="D9D9D9" w:themeFill="background1" w:themeFillShade="D9"/>
          </w:tcPr>
          <w:p w14:paraId="151A7F4D" w14:textId="77777777" w:rsidR="00E50839" w:rsidRPr="00DE5E6F" w:rsidRDefault="00E50839" w:rsidP="00DB4922">
            <w:pPr>
              <w:spacing w:line="280" w:lineRule="exact"/>
              <w:ind w:left="-108"/>
              <w:rPr>
                <w:rFonts w:ascii="Verdana" w:hAnsi="Verdana"/>
                <w:noProof/>
                <w:sz w:val="19"/>
                <w:szCs w:val="19"/>
              </w:rPr>
            </w:pPr>
          </w:p>
        </w:tc>
        <w:tc>
          <w:tcPr>
            <w:tcW w:w="360" w:type="dxa"/>
          </w:tcPr>
          <w:p w14:paraId="3492664B" w14:textId="77777777" w:rsidR="00E50839" w:rsidRPr="00DE5E6F" w:rsidRDefault="00E50839" w:rsidP="00DB4922">
            <w:pPr>
              <w:spacing w:line="280" w:lineRule="exact"/>
              <w:ind w:left="-208" w:right="-111"/>
              <w:jc w:val="center"/>
              <w:rPr>
                <w:rFonts w:ascii="Verdana" w:hAnsi="Verdana"/>
                <w:noProof/>
                <w:sz w:val="19"/>
                <w:szCs w:val="19"/>
              </w:rPr>
            </w:pPr>
          </w:p>
        </w:tc>
        <w:tc>
          <w:tcPr>
            <w:tcW w:w="2160" w:type="dxa"/>
          </w:tcPr>
          <w:p w14:paraId="6F6B235C" w14:textId="77777777" w:rsidR="00E50839" w:rsidRDefault="0030546E" w:rsidP="00C07FFB">
            <w:pPr>
              <w:spacing w:before="1120" w:line="240" w:lineRule="exact"/>
              <w:ind w:left="-101"/>
              <w:rPr>
                <w:rFonts w:ascii="Verdana" w:hAnsi="Verdana"/>
                <w:noProof/>
                <w:sz w:val="19"/>
                <w:szCs w:val="19"/>
              </w:rPr>
            </w:pPr>
            <w:r>
              <w:rPr>
                <w:rFonts w:ascii="Verdana" w:hAnsi="Verdana"/>
                <w:noProof/>
                <w:sz w:val="19"/>
                <w:szCs w:val="19"/>
              </w:rPr>
              <mc:AlternateContent>
                <mc:Choice Requires="wps">
                  <w:drawing>
                    <wp:anchor distT="0" distB="0" distL="114300" distR="114300" simplePos="0" relativeHeight="251659264" behindDoc="0" locked="0" layoutInCell="1" allowOverlap="1" wp14:anchorId="0E1513CE" wp14:editId="59A5823A">
                      <wp:simplePos x="0" y="0"/>
                      <wp:positionH relativeFrom="column">
                        <wp:posOffset>922020</wp:posOffset>
                      </wp:positionH>
                      <wp:positionV relativeFrom="paragraph">
                        <wp:posOffset>59055</wp:posOffset>
                      </wp:positionV>
                      <wp:extent cx="1743075" cy="708660"/>
                      <wp:effectExtent l="228600" t="0" r="9525" b="0"/>
                      <wp:wrapNone/>
                      <wp:docPr id="6" name="Speech Bubble: Rectangle 6"/>
                      <wp:cNvGraphicFramePr/>
                      <a:graphic xmlns:a="http://schemas.openxmlformats.org/drawingml/2006/main">
                        <a:graphicData uri="http://schemas.microsoft.com/office/word/2010/wordprocessingShape">
                          <wps:wsp>
                            <wps:cNvSpPr/>
                            <wps:spPr>
                              <a:xfrm>
                                <a:off x="0" y="0"/>
                                <a:ext cx="1743075" cy="708660"/>
                              </a:xfrm>
                              <a:prstGeom prst="wedgeRectCallout">
                                <a:avLst>
                                  <a:gd name="adj1" fmla="val -62137"/>
                                  <a:gd name="adj2" fmla="val -20833"/>
                                </a:avLst>
                              </a:prstGeom>
                              <a:solidFill>
                                <a:schemeClr val="bg1">
                                  <a:lumMod val="8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F28FE26" w14:textId="77777777" w:rsidR="009A73A9" w:rsidRPr="007B2D06" w:rsidRDefault="009A73A9" w:rsidP="00057052">
                                  <w:pPr>
                                    <w:rPr>
                                      <w:rFonts w:ascii="Verdana" w:hAnsi="Verdana" w:cs="Arial"/>
                                      <w:color w:val="000000" w:themeColor="text1"/>
                                      <w:sz w:val="18"/>
                                      <w:szCs w:val="18"/>
                                    </w:rPr>
                                  </w:pPr>
                                  <w:bookmarkStart w:id="2" w:name="_Hlk35935668"/>
                                  <w:bookmarkStart w:id="3" w:name="_Hlk35935669"/>
                                  <w:r w:rsidRPr="007B2D06">
                                    <w:rPr>
                                      <w:rFonts w:ascii="Verdana" w:hAnsi="Verdana" w:cs="Arial"/>
                                      <w:color w:val="000000" w:themeColor="text1"/>
                                      <w:sz w:val="18"/>
                                      <w:szCs w:val="18"/>
                                    </w:rPr>
                                    <w:t xml:space="preserve">Unum has been a </w:t>
                                  </w:r>
                                  <w:r w:rsidRPr="00FA0A94">
                                    <w:rPr>
                                      <w:rFonts w:ascii="Verdana" w:hAnsi="Verdana" w:cs="Arial"/>
                                      <w:bCs/>
                                      <w:color w:val="000000" w:themeColor="text1"/>
                                      <w:sz w:val="18"/>
                                      <w:szCs w:val="18"/>
                                    </w:rPr>
                                    <w:t>leader in group disability</w:t>
                                  </w:r>
                                  <w:r w:rsidRPr="007B2D06">
                                    <w:rPr>
                                      <w:rFonts w:ascii="Verdana" w:hAnsi="Verdana" w:cs="Arial"/>
                                      <w:color w:val="000000" w:themeColor="text1"/>
                                      <w:sz w:val="18"/>
                                      <w:szCs w:val="18"/>
                                    </w:rPr>
                                    <w:t xml:space="preserve"> benefits in the U.S. for </w:t>
                                  </w:r>
                                  <w:r w:rsidRPr="00B06FD2">
                                    <w:rPr>
                                      <w:rFonts w:ascii="Verdana" w:hAnsi="Verdana" w:cs="Arial"/>
                                      <w:b/>
                                      <w:bCs/>
                                      <w:color w:val="000000" w:themeColor="text1"/>
                                      <w:sz w:val="18"/>
                                      <w:szCs w:val="18"/>
                                    </w:rPr>
                                    <w:t>more than 40 years.</w:t>
                                  </w:r>
                                  <w:r w:rsidRPr="007B2D06">
                                    <w:rPr>
                                      <w:rFonts w:ascii="Verdana" w:hAnsi="Verdana" w:cs="Arial"/>
                                      <w:color w:val="000000" w:themeColor="text1"/>
                                      <w:sz w:val="18"/>
                                      <w:szCs w:val="18"/>
                                      <w:vertAlign w:val="superscript"/>
                                    </w:rPr>
                                    <w:t>1</w:t>
                                  </w:r>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1513C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6" o:spid="_x0000_s1026" type="#_x0000_t61" style="position:absolute;left:0;text-align:left;margin-left:72.6pt;margin-top:4.65pt;width:137.25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" adj="-2622,6300" fillcolor="#d8d8d8 [2732]" stroked="f" strokeweight="1pt">
                      <v:textbox>
                        <w:txbxContent>
                          <w:p w14:paraId="1F28FE26" w14:textId="77777777" w:rsidR="009A73A9" w:rsidRPr="007B2D06" w:rsidRDefault="009A73A9" w:rsidP="00057052">
                            <w:pPr>
                              <w:rPr>
                                <w:rFonts w:ascii="Verdana" w:hAnsi="Verdana" w:cs="Arial"/>
                                <w:color w:val="000000" w:themeColor="text1"/>
                                <w:sz w:val="18"/>
                                <w:szCs w:val="18"/>
                              </w:rPr>
                            </w:pPr>
                            <w:bookmarkStart w:id="4" w:name="_Hlk35935668"/>
                            <w:bookmarkStart w:id="5" w:name="_Hlk35935669"/>
                            <w:r w:rsidRPr="007B2D06">
                              <w:rPr>
                                <w:rFonts w:ascii="Verdana" w:hAnsi="Verdana" w:cs="Arial"/>
                                <w:color w:val="000000" w:themeColor="text1"/>
                                <w:sz w:val="18"/>
                                <w:szCs w:val="18"/>
                              </w:rPr>
                              <w:t xml:space="preserve">Unum has been a </w:t>
                            </w:r>
                            <w:r w:rsidRPr="00FA0A94">
                              <w:rPr>
                                <w:rFonts w:ascii="Verdana" w:hAnsi="Verdana" w:cs="Arial"/>
                                <w:bCs/>
                                <w:color w:val="000000" w:themeColor="text1"/>
                                <w:sz w:val="18"/>
                                <w:szCs w:val="18"/>
                              </w:rPr>
                              <w:t>leader in group disability</w:t>
                            </w:r>
                            <w:r w:rsidRPr="007B2D06">
                              <w:rPr>
                                <w:rFonts w:ascii="Verdana" w:hAnsi="Verdana" w:cs="Arial"/>
                                <w:color w:val="000000" w:themeColor="text1"/>
                                <w:sz w:val="18"/>
                                <w:szCs w:val="18"/>
                              </w:rPr>
                              <w:t xml:space="preserve"> benefits in the U.S. for </w:t>
                            </w:r>
                            <w:r w:rsidRPr="00B06FD2">
                              <w:rPr>
                                <w:rFonts w:ascii="Verdana" w:hAnsi="Verdana" w:cs="Arial"/>
                                <w:b/>
                                <w:bCs/>
                                <w:color w:val="000000" w:themeColor="text1"/>
                                <w:sz w:val="18"/>
                                <w:szCs w:val="18"/>
                              </w:rPr>
                              <w:t>more than 40 years.</w:t>
                            </w:r>
                            <w:r w:rsidRPr="007B2D06">
                              <w:rPr>
                                <w:rFonts w:ascii="Verdana" w:hAnsi="Verdana" w:cs="Arial"/>
                                <w:color w:val="000000" w:themeColor="text1"/>
                                <w:sz w:val="18"/>
                                <w:szCs w:val="18"/>
                                <w:vertAlign w:val="superscript"/>
                              </w:rPr>
                              <w:t>1</w:t>
                            </w:r>
                            <w:bookmarkEnd w:id="4"/>
                            <w:bookmarkEnd w:id="5"/>
                          </w:p>
                        </w:txbxContent>
                      </v:textbox>
                    </v:shape>
                  </w:pict>
                </mc:Fallback>
              </mc:AlternateContent>
            </w:r>
            <w:r w:rsidR="00E50839">
              <w:rPr>
                <w:rFonts w:ascii="Verdana" w:hAnsi="Verdana"/>
                <w:noProof/>
                <w:sz w:val="19"/>
                <w:szCs w:val="19"/>
              </w:rPr>
              <w:drawing>
                <wp:inline distT="0" distB="0" distL="0" distR="0" wp14:anchorId="3D81D458" wp14:editId="38BC15AD">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ar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7C3871A3" w14:textId="77777777" w:rsidR="00E50839" w:rsidRDefault="004252D9" w:rsidP="0057695B">
            <w:pPr>
              <w:spacing w:before="1080" w:line="240" w:lineRule="exact"/>
              <w:ind w:left="-14"/>
              <w:rPr>
                <w:rFonts w:ascii="Verdana" w:hAnsi="Verdana"/>
                <w:noProof/>
                <w:sz w:val="19"/>
                <w:szCs w:val="19"/>
              </w:rPr>
            </w:pPr>
            <w:r>
              <w:rPr>
                <w:rFonts w:ascii="Verdana" w:hAnsi="Verdana"/>
                <w:noProof/>
                <w:sz w:val="19"/>
                <w:szCs w:val="19"/>
              </w:rPr>
              <mc:AlternateContent>
                <mc:Choice Requires="wps">
                  <w:drawing>
                    <wp:anchor distT="0" distB="0" distL="114300" distR="114300" simplePos="0" relativeHeight="251661312" behindDoc="0" locked="0" layoutInCell="1" allowOverlap="1" wp14:anchorId="2298624B" wp14:editId="4AFFA5EC">
                      <wp:simplePos x="0" y="0"/>
                      <wp:positionH relativeFrom="column">
                        <wp:posOffset>922020</wp:posOffset>
                      </wp:positionH>
                      <wp:positionV relativeFrom="paragraph">
                        <wp:posOffset>138430</wp:posOffset>
                      </wp:positionV>
                      <wp:extent cx="1743075" cy="666750"/>
                      <wp:effectExtent l="228600" t="0" r="9525" b="0"/>
                      <wp:wrapNone/>
                      <wp:docPr id="8" name="Speech Bubble: Rectangle 8"/>
                      <wp:cNvGraphicFramePr/>
                      <a:graphic xmlns:a="http://schemas.openxmlformats.org/drawingml/2006/main">
                        <a:graphicData uri="http://schemas.microsoft.com/office/word/2010/wordprocessingShape">
                          <wps:wsp>
                            <wps:cNvSpPr/>
                            <wps:spPr>
                              <a:xfrm>
                                <a:off x="0" y="0"/>
                                <a:ext cx="1743075" cy="666750"/>
                              </a:xfrm>
                              <a:prstGeom prst="wedgeRectCallout">
                                <a:avLst>
                                  <a:gd name="adj1" fmla="val -62137"/>
                                  <a:gd name="adj2" fmla="val -20833"/>
                                </a:avLst>
                              </a:prstGeom>
                              <a:solidFill>
                                <a:schemeClr val="bg1">
                                  <a:lumMod val="8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A9342A4" w14:textId="77777777" w:rsidR="009A73A9" w:rsidRPr="007B2D06" w:rsidRDefault="009A73A9" w:rsidP="00AF0102">
                                  <w:pPr>
                                    <w:rPr>
                                      <w:rFonts w:ascii="Verdana" w:hAnsi="Verdana" w:cs="Arial"/>
                                      <w:color w:val="000000" w:themeColor="text1"/>
                                      <w:sz w:val="18"/>
                                      <w:szCs w:val="18"/>
                                    </w:rPr>
                                  </w:pPr>
                                  <w:r>
                                    <w:rPr>
                                      <w:rFonts w:ascii="Verdana" w:hAnsi="Verdana" w:cs="Arial"/>
                                      <w:color w:val="000000" w:themeColor="text1"/>
                                      <w:sz w:val="18"/>
                                      <w:szCs w:val="18"/>
                                    </w:rPr>
                                    <w:t>Unum</w:t>
                                  </w:r>
                                  <w:r w:rsidRPr="007B2D06">
                                    <w:rPr>
                                      <w:rFonts w:ascii="Verdana" w:hAnsi="Verdana" w:cs="Arial"/>
                                      <w:color w:val="000000" w:themeColor="text1"/>
                                      <w:sz w:val="18"/>
                                      <w:szCs w:val="18"/>
                                    </w:rPr>
                                    <w:t xml:space="preserve"> serve</w:t>
                                  </w:r>
                                  <w:r>
                                    <w:rPr>
                                      <w:rFonts w:ascii="Verdana" w:hAnsi="Verdana" w:cs="Arial"/>
                                      <w:color w:val="000000" w:themeColor="text1"/>
                                      <w:sz w:val="18"/>
                                      <w:szCs w:val="18"/>
                                    </w:rPr>
                                    <w:t xml:space="preserve">s </w:t>
                                  </w:r>
                                  <w:r>
                                    <w:rPr>
                                      <w:rFonts w:ascii="Verdana" w:hAnsi="Verdana" w:cs="Arial"/>
                                      <w:b/>
                                      <w:color w:val="000000" w:themeColor="text1"/>
                                      <w:sz w:val="18"/>
                                      <w:szCs w:val="18"/>
                                    </w:rPr>
                                    <w:t xml:space="preserve">1 in 2 </w:t>
                                  </w:r>
                                  <w:r w:rsidRPr="007B2D06">
                                    <w:rPr>
                                      <w:rFonts w:ascii="Verdana" w:hAnsi="Verdana" w:cs="Arial"/>
                                      <w:b/>
                                      <w:color w:val="000000" w:themeColor="text1"/>
                                      <w:sz w:val="18"/>
                                      <w:szCs w:val="18"/>
                                    </w:rPr>
                                    <w:t xml:space="preserve">Fortune </w:t>
                                  </w:r>
                                  <w:r>
                                    <w:rPr>
                                      <w:rFonts w:ascii="Verdana" w:hAnsi="Verdana" w:cs="Arial"/>
                                      <w:b/>
                                      <w:color w:val="000000" w:themeColor="text1"/>
                                      <w:sz w:val="18"/>
                                      <w:szCs w:val="18"/>
                                    </w:rPr>
                                    <w:t>1</w:t>
                                  </w:r>
                                  <w:r w:rsidRPr="007B2D06">
                                    <w:rPr>
                                      <w:rFonts w:ascii="Verdana" w:hAnsi="Verdana" w:cs="Arial"/>
                                      <w:b/>
                                      <w:color w:val="000000" w:themeColor="text1"/>
                                      <w:sz w:val="18"/>
                                      <w:szCs w:val="18"/>
                                    </w:rPr>
                                    <w:t>00 companies</w:t>
                                  </w:r>
                                  <w:r w:rsidRPr="007B2D06">
                                    <w:rPr>
                                      <w:rFonts w:ascii="Verdana" w:hAnsi="Verdana" w:cs="Arial"/>
                                      <w:color w:val="000000" w:themeColor="text1"/>
                                      <w:sz w:val="18"/>
                                      <w:szCs w:val="18"/>
                                    </w:rPr>
                                    <w:t>.</w:t>
                                  </w:r>
                                  <w:r w:rsidRPr="007B2D06">
                                    <w:rPr>
                                      <w:rFonts w:ascii="Verdana" w:hAnsi="Verdana" w:cs="Arial"/>
                                      <w:color w:val="000000" w:themeColor="text1"/>
                                      <w:sz w:val="18"/>
                                      <w:szCs w:val="18"/>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98624B" id="Speech Bubble: Rectangle 8" o:spid="_x0000_s1027" type="#_x0000_t61" style="position:absolute;left:0;text-align:left;margin-left:72.6pt;margin-top:10.9pt;width:137.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" adj="-2622,6300" fillcolor="#d8d8d8 [2732]" stroked="f" strokeweight="1pt">
                      <v:textbox>
                        <w:txbxContent>
                          <w:p w14:paraId="6A9342A4" w14:textId="77777777" w:rsidR="009A73A9" w:rsidRPr="007B2D06" w:rsidRDefault="009A73A9" w:rsidP="00AF0102">
                            <w:pPr>
                              <w:rPr>
                                <w:rFonts w:ascii="Verdana" w:hAnsi="Verdana" w:cs="Arial"/>
                                <w:color w:val="000000" w:themeColor="text1"/>
                                <w:sz w:val="18"/>
                                <w:szCs w:val="18"/>
                              </w:rPr>
                            </w:pPr>
                            <w:r>
                              <w:rPr>
                                <w:rFonts w:ascii="Verdana" w:hAnsi="Verdana" w:cs="Arial"/>
                                <w:color w:val="000000" w:themeColor="text1"/>
                                <w:sz w:val="18"/>
                                <w:szCs w:val="18"/>
                              </w:rPr>
                              <w:t>Unum</w:t>
                            </w:r>
                            <w:r w:rsidRPr="007B2D06">
                              <w:rPr>
                                <w:rFonts w:ascii="Verdana" w:hAnsi="Verdana" w:cs="Arial"/>
                                <w:color w:val="000000" w:themeColor="text1"/>
                                <w:sz w:val="18"/>
                                <w:szCs w:val="18"/>
                              </w:rPr>
                              <w:t xml:space="preserve"> serve</w:t>
                            </w:r>
                            <w:r>
                              <w:rPr>
                                <w:rFonts w:ascii="Verdana" w:hAnsi="Verdana" w:cs="Arial"/>
                                <w:color w:val="000000" w:themeColor="text1"/>
                                <w:sz w:val="18"/>
                                <w:szCs w:val="18"/>
                              </w:rPr>
                              <w:t xml:space="preserve">s </w:t>
                            </w:r>
                            <w:r>
                              <w:rPr>
                                <w:rFonts w:ascii="Verdana" w:hAnsi="Verdana" w:cs="Arial"/>
                                <w:b/>
                                <w:color w:val="000000" w:themeColor="text1"/>
                                <w:sz w:val="18"/>
                                <w:szCs w:val="18"/>
                              </w:rPr>
                              <w:t xml:space="preserve">1 in 2 </w:t>
                            </w:r>
                            <w:r w:rsidRPr="007B2D06">
                              <w:rPr>
                                <w:rFonts w:ascii="Verdana" w:hAnsi="Verdana" w:cs="Arial"/>
                                <w:b/>
                                <w:color w:val="000000" w:themeColor="text1"/>
                                <w:sz w:val="18"/>
                                <w:szCs w:val="18"/>
                              </w:rPr>
                              <w:t xml:space="preserve">Fortune </w:t>
                            </w:r>
                            <w:r>
                              <w:rPr>
                                <w:rFonts w:ascii="Verdana" w:hAnsi="Verdana" w:cs="Arial"/>
                                <w:b/>
                                <w:color w:val="000000" w:themeColor="text1"/>
                                <w:sz w:val="18"/>
                                <w:szCs w:val="18"/>
                              </w:rPr>
                              <w:t>1</w:t>
                            </w:r>
                            <w:r w:rsidRPr="007B2D06">
                              <w:rPr>
                                <w:rFonts w:ascii="Verdana" w:hAnsi="Verdana" w:cs="Arial"/>
                                <w:b/>
                                <w:color w:val="000000" w:themeColor="text1"/>
                                <w:sz w:val="18"/>
                                <w:szCs w:val="18"/>
                              </w:rPr>
                              <w:t>00 companies</w:t>
                            </w:r>
                            <w:r w:rsidRPr="007B2D06">
                              <w:rPr>
                                <w:rFonts w:ascii="Verdana" w:hAnsi="Verdana" w:cs="Arial"/>
                                <w:color w:val="000000" w:themeColor="text1"/>
                                <w:sz w:val="18"/>
                                <w:szCs w:val="18"/>
                              </w:rPr>
                              <w:t>.</w:t>
                            </w:r>
                            <w:r w:rsidRPr="007B2D06">
                              <w:rPr>
                                <w:rFonts w:ascii="Verdana" w:hAnsi="Verdana" w:cs="Arial"/>
                                <w:color w:val="000000" w:themeColor="text1"/>
                                <w:sz w:val="18"/>
                                <w:szCs w:val="18"/>
                                <w:vertAlign w:val="superscript"/>
                              </w:rPr>
                              <w:t>2</w:t>
                            </w:r>
                          </w:p>
                        </w:txbxContent>
                      </v:textbox>
                    </v:shape>
                  </w:pict>
                </mc:Fallback>
              </mc:AlternateContent>
            </w:r>
            <w:r w:rsidR="00AF0102">
              <w:rPr>
                <w:rFonts w:ascii="Verdana" w:hAnsi="Verdana"/>
                <w:noProof/>
                <w:sz w:val="19"/>
                <w:szCs w:val="19"/>
              </w:rPr>
              <w:drawing>
                <wp:inline distT="0" distB="0" distL="0" distR="0" wp14:anchorId="4C8D1DEF" wp14:editId="5CC23370">
                  <wp:extent cx="777240" cy="7772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uildi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inline>
              </w:drawing>
            </w:r>
          </w:p>
          <w:p w14:paraId="1C6C65BD" w14:textId="77777777" w:rsidR="00E50839" w:rsidRDefault="004252D9" w:rsidP="0057695B">
            <w:pPr>
              <w:spacing w:before="1080" w:line="240" w:lineRule="exact"/>
              <w:ind w:left="-14"/>
              <w:rPr>
                <w:rFonts w:ascii="Verdana" w:hAnsi="Verdana"/>
                <w:noProof/>
                <w:sz w:val="19"/>
                <w:szCs w:val="19"/>
              </w:rPr>
            </w:pPr>
            <w:r>
              <w:rPr>
                <w:rFonts w:ascii="Verdana" w:hAnsi="Verdana"/>
                <w:noProof/>
                <w:sz w:val="19"/>
                <w:szCs w:val="19"/>
              </w:rPr>
              <mc:AlternateContent>
                <mc:Choice Requires="wps">
                  <w:drawing>
                    <wp:anchor distT="0" distB="0" distL="114300" distR="114300" simplePos="0" relativeHeight="251663360" behindDoc="0" locked="0" layoutInCell="1" allowOverlap="1" wp14:anchorId="213C32D2" wp14:editId="1D7661AE">
                      <wp:simplePos x="0" y="0"/>
                      <wp:positionH relativeFrom="column">
                        <wp:posOffset>922020</wp:posOffset>
                      </wp:positionH>
                      <wp:positionV relativeFrom="paragraph">
                        <wp:posOffset>179705</wp:posOffset>
                      </wp:positionV>
                      <wp:extent cx="1743075" cy="638175"/>
                      <wp:effectExtent l="228600" t="0" r="9525" b="9525"/>
                      <wp:wrapNone/>
                      <wp:docPr id="10" name="Speech Bubble: Rectangle 10"/>
                      <wp:cNvGraphicFramePr/>
                      <a:graphic xmlns:a="http://schemas.openxmlformats.org/drawingml/2006/main">
                        <a:graphicData uri="http://schemas.microsoft.com/office/word/2010/wordprocessingShape">
                          <wps:wsp>
                            <wps:cNvSpPr/>
                            <wps:spPr>
                              <a:xfrm>
                                <a:off x="0" y="0"/>
                                <a:ext cx="1743075" cy="638175"/>
                              </a:xfrm>
                              <a:prstGeom prst="wedgeRectCallout">
                                <a:avLst>
                                  <a:gd name="adj1" fmla="val -62137"/>
                                  <a:gd name="adj2" fmla="val -20833"/>
                                </a:avLst>
                              </a:prstGeom>
                              <a:solidFill>
                                <a:schemeClr val="bg1">
                                  <a:lumMod val="8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6980EE" w14:textId="77777777" w:rsidR="009A73A9" w:rsidRPr="007B2D06" w:rsidRDefault="009A73A9" w:rsidP="004252D9">
                                  <w:pPr>
                                    <w:spacing w:before="60"/>
                                    <w:rPr>
                                      <w:rFonts w:ascii="Verdana" w:hAnsi="Verdana" w:cs="Arial"/>
                                      <w:color w:val="000000" w:themeColor="text1"/>
                                      <w:sz w:val="18"/>
                                      <w:szCs w:val="18"/>
                                    </w:rPr>
                                  </w:pPr>
                                  <w:r>
                                    <w:rPr>
                                      <w:rFonts w:ascii="Verdana" w:hAnsi="Verdana" w:cs="Arial"/>
                                      <w:color w:val="000000" w:themeColor="text1"/>
                                      <w:sz w:val="18"/>
                                      <w:szCs w:val="18"/>
                                    </w:rPr>
                                    <w:t>Unum in the U.S.</w:t>
                                  </w:r>
                                  <w:r w:rsidRPr="007B2D06">
                                    <w:rPr>
                                      <w:rFonts w:ascii="Verdana" w:hAnsi="Verdana" w:cs="Arial"/>
                                      <w:color w:val="000000" w:themeColor="text1"/>
                                      <w:sz w:val="18"/>
                                      <w:szCs w:val="18"/>
                                    </w:rPr>
                                    <w:t xml:space="preserve"> protect</w:t>
                                  </w:r>
                                  <w:r>
                                    <w:rPr>
                                      <w:rFonts w:ascii="Verdana" w:hAnsi="Verdana" w:cs="Arial"/>
                                      <w:color w:val="000000" w:themeColor="text1"/>
                                      <w:sz w:val="18"/>
                                      <w:szCs w:val="18"/>
                                    </w:rPr>
                                    <w:t xml:space="preserve">s </w:t>
                                  </w:r>
                                  <w:r>
                                    <w:rPr>
                                      <w:rFonts w:ascii="Verdana" w:hAnsi="Verdana" w:cs="Arial"/>
                                      <w:b/>
                                      <w:color w:val="000000" w:themeColor="text1"/>
                                      <w:sz w:val="18"/>
                                      <w:szCs w:val="18"/>
                                    </w:rPr>
                                    <w:t>38</w:t>
                                  </w:r>
                                  <w:r w:rsidRPr="007B2D06">
                                    <w:rPr>
                                      <w:rFonts w:ascii="Verdana" w:hAnsi="Verdana" w:cs="Arial"/>
                                      <w:b/>
                                      <w:color w:val="000000" w:themeColor="text1"/>
                                      <w:sz w:val="18"/>
                                      <w:szCs w:val="18"/>
                                    </w:rPr>
                                    <w:t xml:space="preserve"> million people</w:t>
                                  </w:r>
                                  <w:r w:rsidRPr="007B2D06">
                                    <w:rPr>
                                      <w:rFonts w:ascii="Verdana" w:hAnsi="Verdana" w:cs="Arial"/>
                                      <w:color w:val="000000" w:themeColor="text1"/>
                                      <w:sz w:val="18"/>
                                      <w:szCs w:val="18"/>
                                    </w:rPr>
                                    <w:t xml:space="preserve"> and their families.</w:t>
                                  </w:r>
                                  <w:r w:rsidRPr="007B2D06">
                                    <w:rPr>
                                      <w:rFonts w:ascii="Verdana" w:hAnsi="Verdana" w:cs="Arial"/>
                                      <w:color w:val="000000" w:themeColor="text1"/>
                                      <w:sz w:val="18"/>
                                      <w:szCs w:val="18"/>
                                      <w:vertAlign w:val="super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3C32D2" id="Speech Bubble: Rectangle 10" o:spid="_x0000_s1028" type="#_x0000_t61" style="position:absolute;left:0;text-align:left;margin-left:72.6pt;margin-top:14.15pt;width:137.2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" adj="-2622,6300" fillcolor="#d8d8d8 [2732]" stroked="f" strokeweight="1pt">
                      <v:textbox>
                        <w:txbxContent>
                          <w:p w14:paraId="2E6980EE" w14:textId="77777777" w:rsidR="009A73A9" w:rsidRPr="007B2D06" w:rsidRDefault="009A73A9" w:rsidP="004252D9">
                            <w:pPr>
                              <w:spacing w:before="60"/>
                              <w:rPr>
                                <w:rFonts w:ascii="Verdana" w:hAnsi="Verdana" w:cs="Arial"/>
                                <w:color w:val="000000" w:themeColor="text1"/>
                                <w:sz w:val="18"/>
                                <w:szCs w:val="18"/>
                              </w:rPr>
                            </w:pPr>
                            <w:r>
                              <w:rPr>
                                <w:rFonts w:ascii="Verdana" w:hAnsi="Verdana" w:cs="Arial"/>
                                <w:color w:val="000000" w:themeColor="text1"/>
                                <w:sz w:val="18"/>
                                <w:szCs w:val="18"/>
                              </w:rPr>
                              <w:t>Unum in the U.S.</w:t>
                            </w:r>
                            <w:r w:rsidRPr="007B2D06">
                              <w:rPr>
                                <w:rFonts w:ascii="Verdana" w:hAnsi="Verdana" w:cs="Arial"/>
                                <w:color w:val="000000" w:themeColor="text1"/>
                                <w:sz w:val="18"/>
                                <w:szCs w:val="18"/>
                              </w:rPr>
                              <w:t xml:space="preserve"> protect</w:t>
                            </w:r>
                            <w:r>
                              <w:rPr>
                                <w:rFonts w:ascii="Verdana" w:hAnsi="Verdana" w:cs="Arial"/>
                                <w:color w:val="000000" w:themeColor="text1"/>
                                <w:sz w:val="18"/>
                                <w:szCs w:val="18"/>
                              </w:rPr>
                              <w:t xml:space="preserve">s </w:t>
                            </w:r>
                            <w:r>
                              <w:rPr>
                                <w:rFonts w:ascii="Verdana" w:hAnsi="Verdana" w:cs="Arial"/>
                                <w:b/>
                                <w:color w:val="000000" w:themeColor="text1"/>
                                <w:sz w:val="18"/>
                                <w:szCs w:val="18"/>
                              </w:rPr>
                              <w:t>38</w:t>
                            </w:r>
                            <w:r w:rsidRPr="007B2D06">
                              <w:rPr>
                                <w:rFonts w:ascii="Verdana" w:hAnsi="Verdana" w:cs="Arial"/>
                                <w:b/>
                                <w:color w:val="000000" w:themeColor="text1"/>
                                <w:sz w:val="18"/>
                                <w:szCs w:val="18"/>
                              </w:rPr>
                              <w:t xml:space="preserve"> million people</w:t>
                            </w:r>
                            <w:r w:rsidRPr="007B2D06">
                              <w:rPr>
                                <w:rFonts w:ascii="Verdana" w:hAnsi="Verdana" w:cs="Arial"/>
                                <w:color w:val="000000" w:themeColor="text1"/>
                                <w:sz w:val="18"/>
                                <w:szCs w:val="18"/>
                              </w:rPr>
                              <w:t xml:space="preserve"> and their families.</w:t>
                            </w:r>
                            <w:r w:rsidRPr="007B2D06">
                              <w:rPr>
                                <w:rFonts w:ascii="Verdana" w:hAnsi="Verdana" w:cs="Arial"/>
                                <w:color w:val="000000" w:themeColor="text1"/>
                                <w:sz w:val="18"/>
                                <w:szCs w:val="18"/>
                                <w:vertAlign w:val="superscript"/>
                              </w:rPr>
                              <w:t>3</w:t>
                            </w:r>
                          </w:p>
                        </w:txbxContent>
                      </v:textbox>
                    </v:shape>
                  </w:pict>
                </mc:Fallback>
              </mc:AlternateContent>
            </w:r>
            <w:r w:rsidR="0057695B">
              <w:rPr>
                <w:rFonts w:ascii="Verdana" w:hAnsi="Verdana"/>
                <w:noProof/>
                <w:sz w:val="19"/>
                <w:szCs w:val="19"/>
              </w:rPr>
              <w:t xml:space="preserve"> </w:t>
            </w:r>
            <w:r w:rsidR="00150757">
              <w:rPr>
                <w:rFonts w:ascii="Verdana" w:hAnsi="Verdana"/>
                <w:noProof/>
                <w:sz w:val="19"/>
                <w:szCs w:val="19"/>
              </w:rPr>
              <w:drawing>
                <wp:inline distT="0" distB="0" distL="0" distR="0" wp14:anchorId="618E1D4F" wp14:editId="24075C62">
                  <wp:extent cx="685800" cy="685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ople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0587D051" w14:textId="77777777" w:rsidR="00E50839" w:rsidRDefault="004252D9" w:rsidP="0057695B">
            <w:pPr>
              <w:spacing w:before="1080" w:line="240" w:lineRule="exact"/>
              <w:ind w:left="-14"/>
              <w:rPr>
                <w:rFonts w:ascii="Verdana" w:hAnsi="Verdana"/>
                <w:noProof/>
                <w:sz w:val="19"/>
                <w:szCs w:val="19"/>
              </w:rPr>
            </w:pPr>
            <w:r>
              <w:rPr>
                <w:rFonts w:ascii="Verdana" w:hAnsi="Verdana"/>
                <w:noProof/>
                <w:sz w:val="19"/>
                <w:szCs w:val="19"/>
              </w:rPr>
              <mc:AlternateContent>
                <mc:Choice Requires="wps">
                  <w:drawing>
                    <wp:anchor distT="0" distB="0" distL="114300" distR="114300" simplePos="0" relativeHeight="251665408" behindDoc="0" locked="0" layoutInCell="1" allowOverlap="1" wp14:anchorId="496FD8AB" wp14:editId="62D7F362">
                      <wp:simplePos x="0" y="0"/>
                      <wp:positionH relativeFrom="column">
                        <wp:posOffset>922020</wp:posOffset>
                      </wp:positionH>
                      <wp:positionV relativeFrom="paragraph">
                        <wp:posOffset>201930</wp:posOffset>
                      </wp:positionV>
                      <wp:extent cx="1743075" cy="628650"/>
                      <wp:effectExtent l="228600" t="0" r="9525" b="0"/>
                      <wp:wrapNone/>
                      <wp:docPr id="12" name="Speech Bubble: Rectangle 12"/>
                      <wp:cNvGraphicFramePr/>
                      <a:graphic xmlns:a="http://schemas.openxmlformats.org/drawingml/2006/main">
                        <a:graphicData uri="http://schemas.microsoft.com/office/word/2010/wordprocessingShape">
                          <wps:wsp>
                            <wps:cNvSpPr/>
                            <wps:spPr>
                              <a:xfrm>
                                <a:off x="0" y="0"/>
                                <a:ext cx="1743075" cy="628650"/>
                              </a:xfrm>
                              <a:prstGeom prst="wedgeRectCallout">
                                <a:avLst>
                                  <a:gd name="adj1" fmla="val -62137"/>
                                  <a:gd name="adj2" fmla="val -20833"/>
                                </a:avLst>
                              </a:prstGeom>
                              <a:solidFill>
                                <a:schemeClr val="bg1">
                                  <a:lumMod val="8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F394298" w14:textId="77777777" w:rsidR="009A73A9" w:rsidRPr="007B2D06" w:rsidRDefault="009A73A9" w:rsidP="004252D9">
                                  <w:pPr>
                                    <w:spacing w:before="60"/>
                                    <w:rPr>
                                      <w:rFonts w:ascii="Verdana" w:hAnsi="Verdana" w:cs="Arial"/>
                                      <w:color w:val="000000" w:themeColor="text1"/>
                                      <w:sz w:val="18"/>
                                      <w:szCs w:val="18"/>
                                    </w:rPr>
                                  </w:pPr>
                                  <w:r>
                                    <w:rPr>
                                      <w:rFonts w:ascii="Verdana" w:hAnsi="Verdana" w:cs="Arial"/>
                                      <w:color w:val="000000" w:themeColor="text1"/>
                                      <w:sz w:val="18"/>
                                      <w:szCs w:val="18"/>
                                    </w:rPr>
                                    <w:t xml:space="preserve">Unum pays out over </w:t>
                                  </w:r>
                                  <w:r w:rsidRPr="008811CF">
                                    <w:rPr>
                                      <w:rFonts w:ascii="Verdana" w:hAnsi="Verdana" w:cs="Arial"/>
                                      <w:b/>
                                      <w:bCs/>
                                      <w:color w:val="000000" w:themeColor="text1"/>
                                      <w:sz w:val="18"/>
                                      <w:szCs w:val="18"/>
                                    </w:rPr>
                                    <w:t>$6 billion</w:t>
                                  </w:r>
                                  <w:r>
                                    <w:rPr>
                                      <w:rFonts w:ascii="Verdana" w:hAnsi="Verdana" w:cs="Arial"/>
                                      <w:color w:val="000000" w:themeColor="text1"/>
                                      <w:sz w:val="18"/>
                                      <w:szCs w:val="18"/>
                                    </w:rPr>
                                    <w:t xml:space="preserve"> in benefits each year.</w:t>
                                  </w:r>
                                  <w:r>
                                    <w:rPr>
                                      <w:rFonts w:ascii="Verdana" w:hAnsi="Verdana" w:cs="Arial"/>
                                      <w:color w:val="000000" w:themeColor="text1"/>
                                      <w:sz w:val="18"/>
                                      <w:szCs w:val="18"/>
                                      <w:vertAlign w:val="super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6FD8AB" id="Speech Bubble: Rectangle 12" o:spid="_x0000_s1029" type="#_x0000_t61" style="position:absolute;left:0;text-align:left;margin-left:72.6pt;margin-top:15.9pt;width:137.2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" adj="-2622,6300" fillcolor="#d8d8d8 [2732]" stroked="f" strokeweight="1pt">
                      <v:textbox>
                        <w:txbxContent>
                          <w:p w14:paraId="7F394298" w14:textId="77777777" w:rsidR="009A73A9" w:rsidRPr="007B2D06" w:rsidRDefault="009A73A9" w:rsidP="004252D9">
                            <w:pPr>
                              <w:spacing w:before="60"/>
                              <w:rPr>
                                <w:rFonts w:ascii="Verdana" w:hAnsi="Verdana" w:cs="Arial"/>
                                <w:color w:val="000000" w:themeColor="text1"/>
                                <w:sz w:val="18"/>
                                <w:szCs w:val="18"/>
                              </w:rPr>
                            </w:pPr>
                            <w:r>
                              <w:rPr>
                                <w:rFonts w:ascii="Verdana" w:hAnsi="Verdana" w:cs="Arial"/>
                                <w:color w:val="000000" w:themeColor="text1"/>
                                <w:sz w:val="18"/>
                                <w:szCs w:val="18"/>
                              </w:rPr>
                              <w:t xml:space="preserve">Unum pays out over </w:t>
                            </w:r>
                            <w:r w:rsidRPr="008811CF">
                              <w:rPr>
                                <w:rFonts w:ascii="Verdana" w:hAnsi="Verdana" w:cs="Arial"/>
                                <w:b/>
                                <w:bCs/>
                                <w:color w:val="000000" w:themeColor="text1"/>
                                <w:sz w:val="18"/>
                                <w:szCs w:val="18"/>
                              </w:rPr>
                              <w:t>$6 billion</w:t>
                            </w:r>
                            <w:r>
                              <w:rPr>
                                <w:rFonts w:ascii="Verdana" w:hAnsi="Verdana" w:cs="Arial"/>
                                <w:color w:val="000000" w:themeColor="text1"/>
                                <w:sz w:val="18"/>
                                <w:szCs w:val="18"/>
                              </w:rPr>
                              <w:t xml:space="preserve"> in benefits each year.</w:t>
                            </w:r>
                            <w:r>
                              <w:rPr>
                                <w:rFonts w:ascii="Verdana" w:hAnsi="Verdana" w:cs="Arial"/>
                                <w:color w:val="000000" w:themeColor="text1"/>
                                <w:sz w:val="18"/>
                                <w:szCs w:val="18"/>
                                <w:vertAlign w:val="superscript"/>
                              </w:rPr>
                              <w:t>3</w:t>
                            </w:r>
                          </w:p>
                        </w:txbxContent>
                      </v:textbox>
                    </v:shape>
                  </w:pict>
                </mc:Fallback>
              </mc:AlternateContent>
            </w:r>
            <w:r w:rsidR="0057695B">
              <w:rPr>
                <w:rFonts w:ascii="Verdana" w:hAnsi="Verdana"/>
                <w:noProof/>
                <w:sz w:val="19"/>
                <w:szCs w:val="19"/>
              </w:rPr>
              <w:t xml:space="preserve"> </w:t>
            </w:r>
            <w:r w:rsidR="00FC68A8">
              <w:rPr>
                <w:rFonts w:ascii="Verdana" w:hAnsi="Verdana"/>
                <w:noProof/>
                <w:sz w:val="19"/>
                <w:szCs w:val="19"/>
              </w:rPr>
              <w:drawing>
                <wp:inline distT="0" distB="0" distL="0" distR="0" wp14:anchorId="11A0D996" wp14:editId="62C800F1">
                  <wp:extent cx="686507"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r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6507" cy="685800"/>
                          </a:xfrm>
                          <a:prstGeom prst="rect">
                            <a:avLst/>
                          </a:prstGeom>
                        </pic:spPr>
                      </pic:pic>
                    </a:graphicData>
                  </a:graphic>
                </wp:inline>
              </w:drawing>
            </w:r>
          </w:p>
          <w:p w14:paraId="464F5FEF" w14:textId="77777777" w:rsidR="00E50839" w:rsidRDefault="00E50839" w:rsidP="004252D9">
            <w:pPr>
              <w:spacing w:line="280" w:lineRule="exact"/>
              <w:rPr>
                <w:rFonts w:ascii="Verdana" w:hAnsi="Verdana"/>
                <w:noProof/>
                <w:sz w:val="19"/>
                <w:szCs w:val="19"/>
              </w:rPr>
            </w:pPr>
          </w:p>
        </w:tc>
        <w:tc>
          <w:tcPr>
            <w:tcW w:w="2160" w:type="dxa"/>
          </w:tcPr>
          <w:p w14:paraId="6E20299D" w14:textId="77777777" w:rsidR="00725C0D" w:rsidRPr="00DE5E6F" w:rsidRDefault="00725C0D" w:rsidP="00AF0102">
            <w:pPr>
              <w:spacing w:before="840" w:line="280" w:lineRule="exact"/>
              <w:rPr>
                <w:rFonts w:ascii="Verdana" w:hAnsi="Verdana"/>
                <w:noProof/>
                <w:sz w:val="19"/>
                <w:szCs w:val="19"/>
              </w:rPr>
            </w:pPr>
          </w:p>
        </w:tc>
      </w:tr>
      <w:tr w:rsidR="00DB4922" w14:paraId="41D7B7D8" w14:textId="77777777" w:rsidTr="006F7A7E">
        <w:tc>
          <w:tcPr>
            <w:tcW w:w="4320" w:type="dxa"/>
            <w:tcBorders>
              <w:top w:val="single" w:sz="12" w:space="0" w:color="015190"/>
            </w:tcBorders>
            <w:shd w:val="clear" w:color="auto" w:fill="D9D9D9" w:themeFill="background1" w:themeFillShade="D9"/>
          </w:tcPr>
          <w:p w14:paraId="2FCA9342" w14:textId="77777777" w:rsidR="00830906" w:rsidRPr="009826C3" w:rsidRDefault="00830906" w:rsidP="00C07FFB">
            <w:pPr>
              <w:spacing w:before="360" w:line="220" w:lineRule="exact"/>
              <w:ind w:left="346" w:right="446"/>
              <w:rPr>
                <w:rFonts w:ascii="Verdana" w:hAnsi="Verdana"/>
                <w:b/>
                <w:noProof/>
                <w:color w:val="015294"/>
                <w:sz w:val="19"/>
                <w:szCs w:val="19"/>
              </w:rPr>
            </w:pPr>
            <w:r w:rsidRPr="009826C3">
              <w:rPr>
                <w:rFonts w:ascii="Verdana" w:hAnsi="Verdana"/>
                <w:b/>
                <w:noProof/>
                <w:color w:val="015294"/>
                <w:sz w:val="19"/>
                <w:szCs w:val="19"/>
              </w:rPr>
              <w:t>UNUM REPRESENTATIVE</w:t>
            </w:r>
          </w:p>
          <w:p w14:paraId="098004FA" w14:textId="297AAEC9" w:rsidR="00830906" w:rsidRPr="009826C3" w:rsidRDefault="002C5697" w:rsidP="003007DA">
            <w:pPr>
              <w:spacing w:line="280" w:lineRule="exact"/>
              <w:ind w:left="345" w:right="447"/>
              <w:rPr>
                <w:rFonts w:ascii="Verdana" w:hAnsi="Verdana"/>
                <w:noProof/>
                <w:color w:val="015294"/>
                <w:sz w:val="19"/>
                <w:szCs w:val="19"/>
              </w:rPr>
            </w:pPr>
            <w:r>
              <w:rPr>
                <w:rFonts w:ascii="Verdana" w:hAnsi="Verdana"/>
                <w:noProof/>
                <w:color w:val="015294"/>
                <w:sz w:val="19"/>
                <w:szCs w:val="19"/>
              </w:rPr>
              <w:t xml:space="preserve">Paxton Weatherly </w:t>
            </w:r>
          </w:p>
          <w:p w14:paraId="0F4B8E90" w14:textId="4E969449" w:rsidR="00A76CCC" w:rsidRDefault="002C5697" w:rsidP="003007DA">
            <w:pPr>
              <w:spacing w:line="280" w:lineRule="exact"/>
              <w:ind w:left="345" w:right="447"/>
              <w:rPr>
                <w:rFonts w:ascii="Verdana" w:hAnsi="Verdana"/>
                <w:noProof/>
                <w:color w:val="015294"/>
                <w:sz w:val="19"/>
                <w:szCs w:val="19"/>
              </w:rPr>
            </w:pPr>
            <w:r>
              <w:rPr>
                <w:rFonts w:ascii="Verdana" w:hAnsi="Verdana"/>
                <w:noProof/>
                <w:color w:val="015294"/>
                <w:sz w:val="19"/>
                <w:szCs w:val="19"/>
              </w:rPr>
              <w:t>Atlanta Sales Office</w:t>
            </w:r>
          </w:p>
          <w:p w14:paraId="60A8F670" w14:textId="77777777" w:rsidR="00B67402" w:rsidRPr="00830906" w:rsidRDefault="00B67402" w:rsidP="003007DA">
            <w:pPr>
              <w:spacing w:line="280" w:lineRule="exact"/>
              <w:ind w:left="345" w:right="447"/>
              <w:rPr>
                <w:rFonts w:ascii="Verdana" w:hAnsi="Verdana"/>
                <w:noProof/>
                <w:sz w:val="19"/>
                <w:szCs w:val="19"/>
              </w:rPr>
            </w:pPr>
          </w:p>
        </w:tc>
        <w:tc>
          <w:tcPr>
            <w:tcW w:w="360" w:type="dxa"/>
            <w:tcBorders>
              <w:left w:val="nil"/>
            </w:tcBorders>
            <w:shd w:val="clear" w:color="auto" w:fill="D9D9D9" w:themeFill="background1" w:themeFillShade="D9"/>
          </w:tcPr>
          <w:p w14:paraId="4D031582" w14:textId="77777777" w:rsidR="00DB4922" w:rsidRPr="00DE5E6F" w:rsidRDefault="00DB4922" w:rsidP="00DB4922">
            <w:pPr>
              <w:spacing w:line="280" w:lineRule="exact"/>
              <w:ind w:left="-108"/>
              <w:rPr>
                <w:rFonts w:ascii="Verdana" w:hAnsi="Verdana"/>
                <w:noProof/>
                <w:sz w:val="19"/>
                <w:szCs w:val="19"/>
              </w:rPr>
            </w:pPr>
          </w:p>
        </w:tc>
        <w:tc>
          <w:tcPr>
            <w:tcW w:w="360" w:type="dxa"/>
          </w:tcPr>
          <w:p w14:paraId="0A5CE882" w14:textId="77777777" w:rsidR="00DB4922" w:rsidRPr="00DE5E6F" w:rsidRDefault="00DB4922" w:rsidP="00DB4922">
            <w:pPr>
              <w:spacing w:line="280" w:lineRule="exact"/>
              <w:ind w:left="-198"/>
              <w:jc w:val="center"/>
              <w:rPr>
                <w:rFonts w:ascii="Verdana" w:hAnsi="Verdana"/>
                <w:noProof/>
                <w:sz w:val="19"/>
                <w:szCs w:val="19"/>
              </w:rPr>
            </w:pPr>
          </w:p>
        </w:tc>
        <w:tc>
          <w:tcPr>
            <w:tcW w:w="4320" w:type="dxa"/>
            <w:gridSpan w:val="2"/>
          </w:tcPr>
          <w:tbl>
            <w:tblPr>
              <w:tblW w:w="4200" w:type="dxa"/>
              <w:tblLayout w:type="fixed"/>
              <w:tblLook w:val="04A0" w:firstRow="1" w:lastRow="0" w:firstColumn="1" w:lastColumn="0" w:noHBand="0" w:noVBand="1"/>
            </w:tblPr>
            <w:tblGrid>
              <w:gridCol w:w="440"/>
              <w:gridCol w:w="1660"/>
              <w:gridCol w:w="1660"/>
              <w:gridCol w:w="440"/>
            </w:tblGrid>
            <w:tr w:rsidR="00722166" w:rsidRPr="00722166" w14:paraId="1A60F0D4" w14:textId="77777777" w:rsidTr="00857366">
              <w:trPr>
                <w:trHeight w:val="255"/>
              </w:trPr>
              <w:tc>
                <w:tcPr>
                  <w:tcW w:w="440" w:type="dxa"/>
                  <w:tcBorders>
                    <w:top w:val="nil"/>
                    <w:left w:val="nil"/>
                    <w:bottom w:val="nil"/>
                    <w:right w:val="nil"/>
                  </w:tcBorders>
                  <w:shd w:val="clear" w:color="000000" w:fill="D9D9D9"/>
                  <w:noWrap/>
                  <w:vAlign w:val="bottom"/>
                  <w:hideMark/>
                </w:tcPr>
                <w:p w14:paraId="29507342" w14:textId="77777777" w:rsidR="00722166" w:rsidRPr="00722166" w:rsidRDefault="00722166" w:rsidP="00C07FFB">
                  <w:pPr>
                    <w:spacing w:after="0" w:line="200" w:lineRule="exact"/>
                    <w:rPr>
                      <w:rFonts w:ascii="Verdana" w:eastAsia="Times New Roman" w:hAnsi="Verdana" w:cs="Times New Roman"/>
                      <w:color w:val="000000"/>
                      <w:sz w:val="20"/>
                      <w:szCs w:val="20"/>
                    </w:rPr>
                  </w:pPr>
                  <w:r w:rsidRPr="00722166">
                    <w:rPr>
                      <w:rFonts w:ascii="Verdana" w:eastAsia="Times New Roman" w:hAnsi="Verdana" w:cs="Times New Roman"/>
                      <w:color w:val="000000"/>
                      <w:sz w:val="20"/>
                      <w:szCs w:val="20"/>
                    </w:rPr>
                    <w:t> </w:t>
                  </w:r>
                </w:p>
              </w:tc>
              <w:tc>
                <w:tcPr>
                  <w:tcW w:w="1660" w:type="dxa"/>
                  <w:tcBorders>
                    <w:top w:val="nil"/>
                    <w:left w:val="nil"/>
                    <w:bottom w:val="nil"/>
                    <w:right w:val="nil"/>
                  </w:tcBorders>
                  <w:shd w:val="clear" w:color="000000" w:fill="D9D9D9"/>
                  <w:noWrap/>
                  <w:vAlign w:val="bottom"/>
                  <w:hideMark/>
                </w:tcPr>
                <w:p w14:paraId="0E626F04" w14:textId="77777777" w:rsidR="00722166" w:rsidRPr="00722166" w:rsidRDefault="00722166" w:rsidP="00C07FFB">
                  <w:pPr>
                    <w:spacing w:after="0" w:line="200" w:lineRule="exact"/>
                    <w:rPr>
                      <w:rFonts w:ascii="Verdana" w:eastAsia="Times New Roman" w:hAnsi="Verdana" w:cs="Times New Roman"/>
                      <w:color w:val="000000"/>
                      <w:sz w:val="20"/>
                      <w:szCs w:val="20"/>
                    </w:rPr>
                  </w:pPr>
                  <w:r w:rsidRPr="00722166">
                    <w:rPr>
                      <w:rFonts w:ascii="Verdana" w:eastAsia="Times New Roman" w:hAnsi="Verdana" w:cs="Times New Roman"/>
                      <w:color w:val="000000"/>
                      <w:sz w:val="20"/>
                      <w:szCs w:val="20"/>
                    </w:rPr>
                    <w:t> </w:t>
                  </w:r>
                </w:p>
              </w:tc>
              <w:tc>
                <w:tcPr>
                  <w:tcW w:w="1660" w:type="dxa"/>
                  <w:tcBorders>
                    <w:top w:val="nil"/>
                    <w:left w:val="nil"/>
                    <w:bottom w:val="nil"/>
                    <w:right w:val="nil"/>
                  </w:tcBorders>
                  <w:shd w:val="clear" w:color="000000" w:fill="D9D9D9"/>
                  <w:noWrap/>
                  <w:vAlign w:val="bottom"/>
                  <w:hideMark/>
                </w:tcPr>
                <w:p w14:paraId="71499D3B" w14:textId="77777777" w:rsidR="00722166" w:rsidRPr="00722166" w:rsidRDefault="00722166" w:rsidP="00C07FFB">
                  <w:pPr>
                    <w:spacing w:after="0" w:line="200" w:lineRule="exact"/>
                    <w:rPr>
                      <w:rFonts w:ascii="Verdana" w:eastAsia="Times New Roman" w:hAnsi="Verdana" w:cs="Times New Roman"/>
                      <w:color w:val="000000"/>
                      <w:sz w:val="20"/>
                      <w:szCs w:val="20"/>
                    </w:rPr>
                  </w:pPr>
                  <w:r w:rsidRPr="00722166">
                    <w:rPr>
                      <w:rFonts w:ascii="Verdana" w:eastAsia="Times New Roman" w:hAnsi="Verdana" w:cs="Times New Roman"/>
                      <w:color w:val="000000"/>
                      <w:sz w:val="20"/>
                      <w:szCs w:val="20"/>
                    </w:rPr>
                    <w:t> </w:t>
                  </w:r>
                </w:p>
              </w:tc>
              <w:tc>
                <w:tcPr>
                  <w:tcW w:w="440" w:type="dxa"/>
                  <w:tcBorders>
                    <w:top w:val="nil"/>
                    <w:left w:val="nil"/>
                    <w:bottom w:val="nil"/>
                    <w:right w:val="nil"/>
                  </w:tcBorders>
                  <w:shd w:val="clear" w:color="000000" w:fill="D9D9D9"/>
                  <w:noWrap/>
                  <w:vAlign w:val="bottom"/>
                  <w:hideMark/>
                </w:tcPr>
                <w:p w14:paraId="3021C3CA" w14:textId="77777777" w:rsidR="00722166" w:rsidRPr="00722166" w:rsidRDefault="00722166" w:rsidP="00C07FFB">
                  <w:pPr>
                    <w:spacing w:after="0" w:line="200" w:lineRule="exact"/>
                    <w:rPr>
                      <w:rFonts w:ascii="Verdana" w:eastAsia="Times New Roman" w:hAnsi="Verdana" w:cs="Times New Roman"/>
                      <w:color w:val="000000"/>
                      <w:sz w:val="20"/>
                      <w:szCs w:val="20"/>
                    </w:rPr>
                  </w:pPr>
                  <w:r w:rsidRPr="00722166">
                    <w:rPr>
                      <w:rFonts w:ascii="Verdana" w:eastAsia="Times New Roman" w:hAnsi="Verdana" w:cs="Times New Roman"/>
                      <w:color w:val="000000"/>
                      <w:sz w:val="20"/>
                      <w:szCs w:val="20"/>
                    </w:rPr>
                    <w:t> </w:t>
                  </w:r>
                </w:p>
              </w:tc>
            </w:tr>
            <w:tr w:rsidR="00722166" w:rsidRPr="00722166" w14:paraId="0AF1AFAB" w14:textId="77777777" w:rsidTr="00857366">
              <w:trPr>
                <w:trHeight w:val="499"/>
              </w:trPr>
              <w:tc>
                <w:tcPr>
                  <w:tcW w:w="440" w:type="dxa"/>
                  <w:tcBorders>
                    <w:top w:val="nil"/>
                    <w:left w:val="nil"/>
                    <w:bottom w:val="nil"/>
                    <w:right w:val="nil"/>
                  </w:tcBorders>
                  <w:shd w:val="clear" w:color="000000" w:fill="D9D9D9"/>
                  <w:noWrap/>
                  <w:hideMark/>
                </w:tcPr>
                <w:p w14:paraId="1403C3B1" w14:textId="77777777" w:rsidR="00722166" w:rsidRPr="00722166" w:rsidRDefault="00722166" w:rsidP="00722166">
                  <w:pPr>
                    <w:spacing w:after="0" w:line="240" w:lineRule="auto"/>
                    <w:rPr>
                      <w:rFonts w:ascii="Verdana" w:eastAsia="Times New Roman" w:hAnsi="Verdana" w:cs="Times New Roman"/>
                      <w:color w:val="000000"/>
                      <w:sz w:val="20"/>
                      <w:szCs w:val="20"/>
                    </w:rPr>
                  </w:pPr>
                  <w:r w:rsidRPr="00722166">
                    <w:rPr>
                      <w:rFonts w:ascii="Verdana" w:eastAsia="Times New Roman" w:hAnsi="Verdana" w:cs="Times New Roman"/>
                      <w:color w:val="000000"/>
                      <w:sz w:val="20"/>
                      <w:szCs w:val="20"/>
                    </w:rPr>
                    <w:t> </w:t>
                  </w:r>
                </w:p>
              </w:tc>
              <w:tc>
                <w:tcPr>
                  <w:tcW w:w="3320" w:type="dxa"/>
                  <w:gridSpan w:val="2"/>
                  <w:tcBorders>
                    <w:top w:val="nil"/>
                    <w:left w:val="nil"/>
                    <w:bottom w:val="nil"/>
                    <w:right w:val="nil"/>
                  </w:tcBorders>
                  <w:shd w:val="clear" w:color="000000" w:fill="D9D9D9"/>
                  <w:noWrap/>
                  <w:hideMark/>
                </w:tcPr>
                <w:p w14:paraId="6F772C7F" w14:textId="77777777" w:rsidR="00722166" w:rsidRPr="009826C3" w:rsidRDefault="00722166" w:rsidP="00C07FFB">
                  <w:pPr>
                    <w:spacing w:after="0" w:line="200" w:lineRule="exact"/>
                    <w:jc w:val="center"/>
                    <w:rPr>
                      <w:rFonts w:ascii="Verdana" w:eastAsia="Times New Roman" w:hAnsi="Verdana" w:cs="Times New Roman"/>
                      <w:b/>
                      <w:bCs/>
                      <w:color w:val="015294"/>
                      <w:sz w:val="20"/>
                      <w:szCs w:val="20"/>
                    </w:rPr>
                  </w:pPr>
                  <w:r w:rsidRPr="009826C3">
                    <w:rPr>
                      <w:rFonts w:ascii="Verdana" w:eastAsia="Times New Roman" w:hAnsi="Verdana" w:cs="Times New Roman"/>
                      <w:b/>
                      <w:bCs/>
                      <w:color w:val="015294"/>
                      <w:sz w:val="20"/>
                      <w:szCs w:val="20"/>
                    </w:rPr>
                    <w:t>FINANCIALLY STRONG</w:t>
                  </w:r>
                </w:p>
              </w:tc>
              <w:tc>
                <w:tcPr>
                  <w:tcW w:w="440" w:type="dxa"/>
                  <w:tcBorders>
                    <w:top w:val="nil"/>
                    <w:left w:val="nil"/>
                    <w:bottom w:val="nil"/>
                    <w:right w:val="nil"/>
                  </w:tcBorders>
                  <w:shd w:val="clear" w:color="000000" w:fill="D9D9D9"/>
                  <w:noWrap/>
                  <w:hideMark/>
                </w:tcPr>
                <w:p w14:paraId="49F3041D" w14:textId="77777777" w:rsidR="00722166" w:rsidRPr="00722166" w:rsidRDefault="00722166" w:rsidP="00722166">
                  <w:pPr>
                    <w:spacing w:after="0" w:line="240" w:lineRule="auto"/>
                    <w:rPr>
                      <w:rFonts w:ascii="Verdana" w:eastAsia="Times New Roman" w:hAnsi="Verdana" w:cs="Times New Roman"/>
                      <w:color w:val="000000"/>
                      <w:sz w:val="20"/>
                      <w:szCs w:val="20"/>
                    </w:rPr>
                  </w:pPr>
                  <w:r w:rsidRPr="00722166">
                    <w:rPr>
                      <w:rFonts w:ascii="Verdana" w:eastAsia="Times New Roman" w:hAnsi="Verdana" w:cs="Times New Roman"/>
                      <w:color w:val="000000"/>
                      <w:sz w:val="20"/>
                      <w:szCs w:val="20"/>
                    </w:rPr>
                    <w:t> </w:t>
                  </w:r>
                </w:p>
              </w:tc>
            </w:tr>
            <w:tr w:rsidR="00722166" w:rsidRPr="00722166" w14:paraId="6A504E2B" w14:textId="77777777" w:rsidTr="00857366">
              <w:trPr>
                <w:trHeight w:val="255"/>
              </w:trPr>
              <w:tc>
                <w:tcPr>
                  <w:tcW w:w="440" w:type="dxa"/>
                  <w:tcBorders>
                    <w:top w:val="nil"/>
                    <w:left w:val="nil"/>
                    <w:bottom w:val="nil"/>
                    <w:right w:val="nil"/>
                  </w:tcBorders>
                  <w:shd w:val="clear" w:color="000000" w:fill="D9D9D9"/>
                  <w:noWrap/>
                  <w:vAlign w:val="bottom"/>
                  <w:hideMark/>
                </w:tcPr>
                <w:p w14:paraId="74ECF282" w14:textId="77777777" w:rsidR="00722166" w:rsidRPr="00722166" w:rsidRDefault="00722166" w:rsidP="00722166">
                  <w:pPr>
                    <w:spacing w:after="0" w:line="240" w:lineRule="auto"/>
                    <w:rPr>
                      <w:rFonts w:ascii="Verdana" w:eastAsia="Times New Roman" w:hAnsi="Verdana" w:cs="Times New Roman"/>
                      <w:color w:val="000000"/>
                      <w:sz w:val="20"/>
                      <w:szCs w:val="20"/>
                    </w:rPr>
                  </w:pPr>
                  <w:r w:rsidRPr="00722166">
                    <w:rPr>
                      <w:rFonts w:ascii="Verdana" w:eastAsia="Times New Roman" w:hAnsi="Verdana" w:cs="Times New Roman"/>
                      <w:color w:val="000000"/>
                      <w:sz w:val="20"/>
                      <w:szCs w:val="20"/>
                    </w:rPr>
                    <w:t> </w:t>
                  </w:r>
                </w:p>
              </w:tc>
              <w:tc>
                <w:tcPr>
                  <w:tcW w:w="1660" w:type="dxa"/>
                  <w:tcBorders>
                    <w:top w:val="nil"/>
                    <w:left w:val="nil"/>
                    <w:bottom w:val="nil"/>
                    <w:right w:val="nil"/>
                  </w:tcBorders>
                  <w:shd w:val="clear" w:color="auto" w:fill="auto"/>
                  <w:noWrap/>
                  <w:vAlign w:val="bottom"/>
                  <w:hideMark/>
                </w:tcPr>
                <w:p w14:paraId="412058B1" w14:textId="77777777" w:rsidR="00722166" w:rsidRPr="00722166" w:rsidRDefault="00722166" w:rsidP="00722166">
                  <w:pPr>
                    <w:spacing w:after="0" w:line="240" w:lineRule="auto"/>
                    <w:rPr>
                      <w:rFonts w:ascii="Verdana" w:eastAsia="Times New Roman" w:hAnsi="Verdana" w:cs="Times New Roman"/>
                      <w:b/>
                      <w:bCs/>
                      <w:color w:val="000000"/>
                      <w:sz w:val="20"/>
                      <w:szCs w:val="20"/>
                    </w:rPr>
                  </w:pPr>
                  <w:r w:rsidRPr="00722166">
                    <w:rPr>
                      <w:rFonts w:ascii="Verdana" w:eastAsia="Times New Roman" w:hAnsi="Verdana" w:cs="Times New Roman"/>
                      <w:b/>
                      <w:bCs/>
                      <w:color w:val="000000"/>
                      <w:sz w:val="20"/>
                      <w:szCs w:val="20"/>
                    </w:rPr>
                    <w:t>AGENCY</w:t>
                  </w:r>
                </w:p>
              </w:tc>
              <w:tc>
                <w:tcPr>
                  <w:tcW w:w="1660" w:type="dxa"/>
                  <w:tcBorders>
                    <w:top w:val="nil"/>
                    <w:left w:val="single" w:sz="8" w:space="0" w:color="015190"/>
                    <w:bottom w:val="nil"/>
                    <w:right w:val="nil"/>
                  </w:tcBorders>
                  <w:shd w:val="clear" w:color="auto" w:fill="auto"/>
                  <w:noWrap/>
                  <w:vAlign w:val="bottom"/>
                  <w:hideMark/>
                </w:tcPr>
                <w:p w14:paraId="10F754B2" w14:textId="77777777" w:rsidR="00722166" w:rsidRPr="00722166" w:rsidRDefault="00722166" w:rsidP="00722166">
                  <w:pPr>
                    <w:spacing w:after="0" w:line="240" w:lineRule="auto"/>
                    <w:jc w:val="right"/>
                    <w:rPr>
                      <w:rFonts w:ascii="Verdana" w:eastAsia="Times New Roman" w:hAnsi="Verdana" w:cs="Times New Roman"/>
                      <w:b/>
                      <w:bCs/>
                      <w:color w:val="000000"/>
                      <w:sz w:val="20"/>
                      <w:szCs w:val="20"/>
                    </w:rPr>
                  </w:pPr>
                  <w:r w:rsidRPr="00722166">
                    <w:rPr>
                      <w:rFonts w:ascii="Verdana" w:eastAsia="Times New Roman" w:hAnsi="Verdana" w:cs="Times New Roman"/>
                      <w:b/>
                      <w:bCs/>
                      <w:color w:val="000000"/>
                      <w:sz w:val="20"/>
                      <w:szCs w:val="20"/>
                    </w:rPr>
                    <w:t>RATING</w:t>
                  </w:r>
                </w:p>
              </w:tc>
              <w:tc>
                <w:tcPr>
                  <w:tcW w:w="440" w:type="dxa"/>
                  <w:tcBorders>
                    <w:top w:val="nil"/>
                    <w:left w:val="nil"/>
                    <w:bottom w:val="nil"/>
                    <w:right w:val="nil"/>
                  </w:tcBorders>
                  <w:shd w:val="clear" w:color="000000" w:fill="D9D9D9"/>
                  <w:noWrap/>
                  <w:vAlign w:val="bottom"/>
                  <w:hideMark/>
                </w:tcPr>
                <w:p w14:paraId="7B78F4B2" w14:textId="77777777" w:rsidR="00722166" w:rsidRPr="00722166" w:rsidRDefault="00722166" w:rsidP="00722166">
                  <w:pPr>
                    <w:spacing w:after="0" w:line="240" w:lineRule="auto"/>
                    <w:rPr>
                      <w:rFonts w:ascii="Verdana" w:eastAsia="Times New Roman" w:hAnsi="Verdana" w:cs="Times New Roman"/>
                      <w:color w:val="000000"/>
                      <w:sz w:val="20"/>
                      <w:szCs w:val="20"/>
                    </w:rPr>
                  </w:pPr>
                  <w:r w:rsidRPr="00722166">
                    <w:rPr>
                      <w:rFonts w:ascii="Verdana" w:eastAsia="Times New Roman" w:hAnsi="Verdana" w:cs="Times New Roman"/>
                      <w:color w:val="000000"/>
                      <w:sz w:val="20"/>
                      <w:szCs w:val="20"/>
                    </w:rPr>
                    <w:t> </w:t>
                  </w:r>
                </w:p>
              </w:tc>
            </w:tr>
            <w:tr w:rsidR="00722166" w:rsidRPr="00722166" w14:paraId="723D4943" w14:textId="77777777" w:rsidTr="00857366">
              <w:trPr>
                <w:trHeight w:val="255"/>
              </w:trPr>
              <w:tc>
                <w:tcPr>
                  <w:tcW w:w="440" w:type="dxa"/>
                  <w:tcBorders>
                    <w:top w:val="nil"/>
                    <w:left w:val="nil"/>
                    <w:bottom w:val="nil"/>
                    <w:right w:val="nil"/>
                  </w:tcBorders>
                  <w:shd w:val="clear" w:color="000000" w:fill="D9D9D9"/>
                  <w:noWrap/>
                  <w:vAlign w:val="bottom"/>
                  <w:hideMark/>
                </w:tcPr>
                <w:p w14:paraId="25D3AB0E" w14:textId="77777777" w:rsidR="00722166" w:rsidRPr="00722166" w:rsidRDefault="00722166" w:rsidP="00722166">
                  <w:pPr>
                    <w:spacing w:after="0" w:line="240" w:lineRule="auto"/>
                    <w:rPr>
                      <w:rFonts w:ascii="Verdana" w:eastAsia="Times New Roman" w:hAnsi="Verdana" w:cs="Times New Roman"/>
                      <w:color w:val="000000"/>
                      <w:sz w:val="20"/>
                      <w:szCs w:val="20"/>
                    </w:rPr>
                  </w:pPr>
                  <w:r w:rsidRPr="00722166">
                    <w:rPr>
                      <w:rFonts w:ascii="Verdana" w:eastAsia="Times New Roman" w:hAnsi="Verdana" w:cs="Times New Roman"/>
                      <w:color w:val="000000"/>
                      <w:sz w:val="20"/>
                      <w:szCs w:val="20"/>
                    </w:rPr>
                    <w:t> </w:t>
                  </w:r>
                </w:p>
              </w:tc>
              <w:tc>
                <w:tcPr>
                  <w:tcW w:w="1660" w:type="dxa"/>
                  <w:tcBorders>
                    <w:top w:val="nil"/>
                    <w:left w:val="nil"/>
                    <w:bottom w:val="nil"/>
                    <w:right w:val="nil"/>
                  </w:tcBorders>
                  <w:shd w:val="clear" w:color="auto" w:fill="auto"/>
                  <w:noWrap/>
                  <w:vAlign w:val="bottom"/>
                  <w:hideMark/>
                </w:tcPr>
                <w:p w14:paraId="4455ECFC" w14:textId="77777777" w:rsidR="00722166" w:rsidRPr="00722166" w:rsidRDefault="00722166" w:rsidP="00722166">
                  <w:pPr>
                    <w:spacing w:after="0" w:line="240" w:lineRule="auto"/>
                    <w:rPr>
                      <w:rFonts w:ascii="Verdana" w:eastAsia="Times New Roman" w:hAnsi="Verdana" w:cs="Times New Roman"/>
                      <w:color w:val="000000"/>
                      <w:sz w:val="20"/>
                      <w:szCs w:val="20"/>
                    </w:rPr>
                  </w:pPr>
                  <w:r w:rsidRPr="00722166">
                    <w:rPr>
                      <w:rFonts w:ascii="Verdana" w:eastAsia="Times New Roman" w:hAnsi="Verdana" w:cs="Times New Roman"/>
                      <w:color w:val="000000"/>
                      <w:sz w:val="20"/>
                      <w:szCs w:val="20"/>
                    </w:rPr>
                    <w:t>A.M. Best</w:t>
                  </w:r>
                </w:p>
              </w:tc>
              <w:tc>
                <w:tcPr>
                  <w:tcW w:w="1660" w:type="dxa"/>
                  <w:tcBorders>
                    <w:top w:val="nil"/>
                    <w:left w:val="single" w:sz="8" w:space="0" w:color="015190"/>
                    <w:bottom w:val="nil"/>
                    <w:right w:val="nil"/>
                  </w:tcBorders>
                  <w:shd w:val="clear" w:color="auto" w:fill="auto"/>
                  <w:noWrap/>
                  <w:vAlign w:val="bottom"/>
                  <w:hideMark/>
                </w:tcPr>
                <w:p w14:paraId="2F716287" w14:textId="77777777" w:rsidR="00722166" w:rsidRPr="00722166" w:rsidRDefault="006F7A7E" w:rsidP="00A76CCC">
                  <w:pPr>
                    <w:tabs>
                      <w:tab w:val="right" w:pos="1381"/>
                    </w:tabs>
                    <w:spacing w:after="0" w:line="240" w:lineRule="auto"/>
                    <w:jc w:val="right"/>
                    <w:rPr>
                      <w:rFonts w:ascii="Verdana" w:eastAsia="Times New Roman" w:hAnsi="Verdana" w:cs="Times New Roman"/>
                      <w:color w:val="000000"/>
                      <w:sz w:val="20"/>
                      <w:szCs w:val="20"/>
                    </w:rPr>
                  </w:pPr>
                  <w:r w:rsidRPr="009826C3">
                    <w:rPr>
                      <w:rFonts w:ascii="Verdana" w:eastAsia="Times New Roman" w:hAnsi="Verdana" w:cs="Times New Roman"/>
                      <w:b/>
                      <w:bCs/>
                      <w:color w:val="015294"/>
                      <w:sz w:val="20"/>
                      <w:szCs w:val="20"/>
                    </w:rPr>
                    <w:t>A</w:t>
                  </w:r>
                  <w:r w:rsidR="00A76CCC">
                    <w:rPr>
                      <w:noProof/>
                    </w:rPr>
                    <w:tab/>
                  </w:r>
                  <w:r w:rsidR="00722166" w:rsidRPr="00722166">
                    <w:rPr>
                      <w:rFonts w:ascii="Verdana" w:eastAsia="Times New Roman" w:hAnsi="Verdana" w:cs="Times New Roman"/>
                      <w:color w:val="000000"/>
                      <w:sz w:val="20"/>
                      <w:szCs w:val="20"/>
                    </w:rPr>
                    <w:t>Excellent</w:t>
                  </w:r>
                </w:p>
              </w:tc>
              <w:tc>
                <w:tcPr>
                  <w:tcW w:w="440" w:type="dxa"/>
                  <w:tcBorders>
                    <w:top w:val="nil"/>
                    <w:left w:val="nil"/>
                    <w:bottom w:val="nil"/>
                    <w:right w:val="nil"/>
                  </w:tcBorders>
                  <w:shd w:val="clear" w:color="000000" w:fill="D9D9D9"/>
                  <w:noWrap/>
                  <w:vAlign w:val="bottom"/>
                  <w:hideMark/>
                </w:tcPr>
                <w:p w14:paraId="2BDDACDC" w14:textId="77777777" w:rsidR="00722166" w:rsidRPr="00722166" w:rsidRDefault="00722166" w:rsidP="00722166">
                  <w:pPr>
                    <w:spacing w:after="0" w:line="240" w:lineRule="auto"/>
                    <w:rPr>
                      <w:rFonts w:ascii="Verdana" w:eastAsia="Times New Roman" w:hAnsi="Verdana" w:cs="Times New Roman"/>
                      <w:color w:val="000000"/>
                      <w:sz w:val="20"/>
                      <w:szCs w:val="20"/>
                    </w:rPr>
                  </w:pPr>
                  <w:r w:rsidRPr="00722166">
                    <w:rPr>
                      <w:rFonts w:ascii="Verdana" w:eastAsia="Times New Roman" w:hAnsi="Verdana" w:cs="Times New Roman"/>
                      <w:color w:val="000000"/>
                      <w:sz w:val="20"/>
                      <w:szCs w:val="20"/>
                    </w:rPr>
                    <w:t> </w:t>
                  </w:r>
                </w:p>
              </w:tc>
            </w:tr>
            <w:tr w:rsidR="00722166" w:rsidRPr="00722166" w14:paraId="116318A1" w14:textId="77777777" w:rsidTr="00857366">
              <w:trPr>
                <w:trHeight w:val="255"/>
              </w:trPr>
              <w:tc>
                <w:tcPr>
                  <w:tcW w:w="440" w:type="dxa"/>
                  <w:tcBorders>
                    <w:top w:val="nil"/>
                    <w:left w:val="nil"/>
                    <w:bottom w:val="nil"/>
                    <w:right w:val="nil"/>
                  </w:tcBorders>
                  <w:shd w:val="clear" w:color="000000" w:fill="D9D9D9"/>
                  <w:noWrap/>
                  <w:vAlign w:val="bottom"/>
                  <w:hideMark/>
                </w:tcPr>
                <w:p w14:paraId="34308B46" w14:textId="77777777" w:rsidR="00722166" w:rsidRPr="00722166" w:rsidRDefault="00722166" w:rsidP="00722166">
                  <w:pPr>
                    <w:spacing w:after="0" w:line="240" w:lineRule="auto"/>
                    <w:rPr>
                      <w:rFonts w:ascii="Verdana" w:eastAsia="Times New Roman" w:hAnsi="Verdana" w:cs="Times New Roman"/>
                      <w:color w:val="000000"/>
                      <w:sz w:val="20"/>
                      <w:szCs w:val="20"/>
                    </w:rPr>
                  </w:pPr>
                  <w:r w:rsidRPr="00722166">
                    <w:rPr>
                      <w:rFonts w:ascii="Verdana" w:eastAsia="Times New Roman" w:hAnsi="Verdana" w:cs="Times New Roman"/>
                      <w:color w:val="000000"/>
                      <w:sz w:val="20"/>
                      <w:szCs w:val="20"/>
                    </w:rPr>
                    <w:t> </w:t>
                  </w:r>
                </w:p>
              </w:tc>
              <w:tc>
                <w:tcPr>
                  <w:tcW w:w="1660" w:type="dxa"/>
                  <w:tcBorders>
                    <w:top w:val="nil"/>
                    <w:left w:val="nil"/>
                    <w:bottom w:val="nil"/>
                    <w:right w:val="nil"/>
                  </w:tcBorders>
                  <w:shd w:val="clear" w:color="auto" w:fill="auto"/>
                  <w:noWrap/>
                  <w:vAlign w:val="bottom"/>
                  <w:hideMark/>
                </w:tcPr>
                <w:p w14:paraId="455BC0B0" w14:textId="77777777" w:rsidR="00722166" w:rsidRPr="00722166" w:rsidRDefault="00722166" w:rsidP="00722166">
                  <w:pPr>
                    <w:spacing w:after="0" w:line="240" w:lineRule="auto"/>
                    <w:rPr>
                      <w:rFonts w:ascii="Verdana" w:eastAsia="Times New Roman" w:hAnsi="Verdana" w:cs="Times New Roman"/>
                      <w:color w:val="000000"/>
                      <w:sz w:val="20"/>
                      <w:szCs w:val="20"/>
                    </w:rPr>
                  </w:pPr>
                  <w:r w:rsidRPr="00722166">
                    <w:rPr>
                      <w:rFonts w:ascii="Verdana" w:eastAsia="Times New Roman" w:hAnsi="Verdana" w:cs="Times New Roman"/>
                      <w:color w:val="000000"/>
                      <w:sz w:val="20"/>
                      <w:szCs w:val="20"/>
                    </w:rPr>
                    <w:t>Fitch</w:t>
                  </w:r>
                </w:p>
              </w:tc>
              <w:tc>
                <w:tcPr>
                  <w:tcW w:w="1660" w:type="dxa"/>
                  <w:tcBorders>
                    <w:top w:val="nil"/>
                    <w:left w:val="single" w:sz="8" w:space="0" w:color="015190"/>
                    <w:bottom w:val="nil"/>
                    <w:right w:val="nil"/>
                  </w:tcBorders>
                  <w:shd w:val="clear" w:color="auto" w:fill="auto"/>
                  <w:noWrap/>
                  <w:vAlign w:val="bottom"/>
                  <w:hideMark/>
                </w:tcPr>
                <w:p w14:paraId="6BFC0BFB" w14:textId="77777777" w:rsidR="00722166" w:rsidRPr="00722166" w:rsidRDefault="00722166" w:rsidP="00A76CCC">
                  <w:pPr>
                    <w:tabs>
                      <w:tab w:val="right" w:pos="1381"/>
                    </w:tabs>
                    <w:spacing w:after="0" w:line="240" w:lineRule="auto"/>
                    <w:jc w:val="right"/>
                    <w:rPr>
                      <w:rFonts w:ascii="Verdana" w:eastAsia="Times New Roman" w:hAnsi="Verdana" w:cs="Times New Roman"/>
                      <w:color w:val="000000"/>
                      <w:sz w:val="20"/>
                      <w:szCs w:val="20"/>
                    </w:rPr>
                  </w:pPr>
                  <w:r w:rsidRPr="009826C3">
                    <w:rPr>
                      <w:rFonts w:ascii="Verdana" w:eastAsia="Times New Roman" w:hAnsi="Verdana" w:cs="Times New Roman"/>
                      <w:b/>
                      <w:bCs/>
                      <w:color w:val="015294"/>
                      <w:sz w:val="20"/>
                      <w:szCs w:val="20"/>
                    </w:rPr>
                    <w:t>A</w:t>
                  </w:r>
                  <w:r w:rsidR="00A76CCC">
                    <w:rPr>
                      <w:noProof/>
                    </w:rPr>
                    <w:tab/>
                  </w:r>
                  <w:r w:rsidRPr="00722166">
                    <w:rPr>
                      <w:rFonts w:ascii="Verdana" w:eastAsia="Times New Roman" w:hAnsi="Verdana" w:cs="Times New Roman"/>
                      <w:color w:val="000000"/>
                      <w:sz w:val="20"/>
                      <w:szCs w:val="20"/>
                    </w:rPr>
                    <w:t>Strong</w:t>
                  </w:r>
                </w:p>
              </w:tc>
              <w:tc>
                <w:tcPr>
                  <w:tcW w:w="440" w:type="dxa"/>
                  <w:tcBorders>
                    <w:top w:val="nil"/>
                    <w:left w:val="nil"/>
                    <w:bottom w:val="nil"/>
                    <w:right w:val="nil"/>
                  </w:tcBorders>
                  <w:shd w:val="clear" w:color="000000" w:fill="D9D9D9"/>
                  <w:noWrap/>
                  <w:vAlign w:val="bottom"/>
                  <w:hideMark/>
                </w:tcPr>
                <w:p w14:paraId="3F64998A" w14:textId="77777777" w:rsidR="00722166" w:rsidRPr="00722166" w:rsidRDefault="00722166" w:rsidP="00722166">
                  <w:pPr>
                    <w:spacing w:after="0" w:line="240" w:lineRule="auto"/>
                    <w:rPr>
                      <w:rFonts w:ascii="Verdana" w:eastAsia="Times New Roman" w:hAnsi="Verdana" w:cs="Times New Roman"/>
                      <w:color w:val="000000"/>
                      <w:sz w:val="20"/>
                      <w:szCs w:val="20"/>
                    </w:rPr>
                  </w:pPr>
                  <w:r w:rsidRPr="00722166">
                    <w:rPr>
                      <w:rFonts w:ascii="Verdana" w:eastAsia="Times New Roman" w:hAnsi="Verdana" w:cs="Times New Roman"/>
                      <w:color w:val="000000"/>
                      <w:sz w:val="20"/>
                      <w:szCs w:val="20"/>
                    </w:rPr>
                    <w:t> </w:t>
                  </w:r>
                </w:p>
              </w:tc>
            </w:tr>
            <w:tr w:rsidR="00722166" w:rsidRPr="00722166" w14:paraId="42777AF3" w14:textId="77777777" w:rsidTr="00857366">
              <w:trPr>
                <w:trHeight w:val="255"/>
              </w:trPr>
              <w:tc>
                <w:tcPr>
                  <w:tcW w:w="440" w:type="dxa"/>
                  <w:tcBorders>
                    <w:top w:val="nil"/>
                    <w:left w:val="nil"/>
                    <w:bottom w:val="nil"/>
                    <w:right w:val="nil"/>
                  </w:tcBorders>
                  <w:shd w:val="clear" w:color="000000" w:fill="D9D9D9"/>
                  <w:noWrap/>
                  <w:vAlign w:val="bottom"/>
                  <w:hideMark/>
                </w:tcPr>
                <w:p w14:paraId="21B495A2" w14:textId="77777777" w:rsidR="00722166" w:rsidRPr="00722166" w:rsidRDefault="00722166" w:rsidP="00722166">
                  <w:pPr>
                    <w:spacing w:after="0" w:line="240" w:lineRule="auto"/>
                    <w:rPr>
                      <w:rFonts w:ascii="Verdana" w:eastAsia="Times New Roman" w:hAnsi="Verdana" w:cs="Times New Roman"/>
                      <w:color w:val="000000"/>
                      <w:sz w:val="20"/>
                      <w:szCs w:val="20"/>
                    </w:rPr>
                  </w:pPr>
                  <w:r w:rsidRPr="00722166">
                    <w:rPr>
                      <w:rFonts w:ascii="Verdana" w:eastAsia="Times New Roman" w:hAnsi="Verdana" w:cs="Times New Roman"/>
                      <w:color w:val="000000"/>
                      <w:sz w:val="20"/>
                      <w:szCs w:val="20"/>
                    </w:rPr>
                    <w:t> </w:t>
                  </w:r>
                </w:p>
              </w:tc>
              <w:tc>
                <w:tcPr>
                  <w:tcW w:w="1660" w:type="dxa"/>
                  <w:tcBorders>
                    <w:top w:val="nil"/>
                    <w:left w:val="nil"/>
                    <w:bottom w:val="nil"/>
                    <w:right w:val="nil"/>
                  </w:tcBorders>
                  <w:shd w:val="clear" w:color="auto" w:fill="auto"/>
                  <w:noWrap/>
                  <w:vAlign w:val="bottom"/>
                  <w:hideMark/>
                </w:tcPr>
                <w:p w14:paraId="27DD23B9" w14:textId="77777777" w:rsidR="00722166" w:rsidRPr="00722166" w:rsidRDefault="00722166" w:rsidP="00722166">
                  <w:pPr>
                    <w:spacing w:after="0" w:line="240" w:lineRule="auto"/>
                    <w:rPr>
                      <w:rFonts w:ascii="Verdana" w:eastAsia="Times New Roman" w:hAnsi="Verdana" w:cs="Times New Roman"/>
                      <w:color w:val="000000"/>
                      <w:sz w:val="20"/>
                      <w:szCs w:val="20"/>
                    </w:rPr>
                  </w:pPr>
                  <w:r w:rsidRPr="00722166">
                    <w:rPr>
                      <w:rFonts w:ascii="Verdana" w:eastAsia="Times New Roman" w:hAnsi="Verdana" w:cs="Times New Roman"/>
                      <w:color w:val="000000"/>
                      <w:sz w:val="20"/>
                      <w:szCs w:val="20"/>
                    </w:rPr>
                    <w:t>Moody's</w:t>
                  </w:r>
                </w:p>
              </w:tc>
              <w:tc>
                <w:tcPr>
                  <w:tcW w:w="1660" w:type="dxa"/>
                  <w:tcBorders>
                    <w:top w:val="nil"/>
                    <w:left w:val="single" w:sz="8" w:space="0" w:color="015190"/>
                    <w:bottom w:val="nil"/>
                    <w:right w:val="nil"/>
                  </w:tcBorders>
                  <w:shd w:val="clear" w:color="auto" w:fill="auto"/>
                  <w:noWrap/>
                  <w:vAlign w:val="bottom"/>
                  <w:hideMark/>
                </w:tcPr>
                <w:p w14:paraId="69B028B3" w14:textId="77777777" w:rsidR="00722166" w:rsidRPr="00722166" w:rsidRDefault="00722166" w:rsidP="00A76CCC">
                  <w:pPr>
                    <w:tabs>
                      <w:tab w:val="right" w:pos="1381"/>
                    </w:tabs>
                    <w:spacing w:after="0" w:line="240" w:lineRule="auto"/>
                    <w:jc w:val="right"/>
                    <w:rPr>
                      <w:rFonts w:ascii="Verdana" w:eastAsia="Times New Roman" w:hAnsi="Verdana" w:cs="Times New Roman"/>
                      <w:color w:val="000000"/>
                      <w:sz w:val="20"/>
                      <w:szCs w:val="20"/>
                    </w:rPr>
                  </w:pPr>
                  <w:r w:rsidRPr="009826C3">
                    <w:rPr>
                      <w:rFonts w:ascii="Verdana" w:eastAsia="Times New Roman" w:hAnsi="Verdana" w:cs="Times New Roman"/>
                      <w:b/>
                      <w:bCs/>
                      <w:color w:val="015294"/>
                      <w:sz w:val="20"/>
                      <w:szCs w:val="20"/>
                    </w:rPr>
                    <w:t>A</w:t>
                  </w:r>
                  <w:r w:rsidR="001A59F1">
                    <w:rPr>
                      <w:rFonts w:ascii="Verdana" w:eastAsia="Times New Roman" w:hAnsi="Verdana" w:cs="Times New Roman"/>
                      <w:b/>
                      <w:bCs/>
                      <w:color w:val="015294"/>
                      <w:sz w:val="20"/>
                      <w:szCs w:val="20"/>
                    </w:rPr>
                    <w:t>2</w:t>
                  </w:r>
                  <w:r w:rsidR="00A76CCC">
                    <w:rPr>
                      <w:noProof/>
                    </w:rPr>
                    <w:tab/>
                  </w:r>
                  <w:r w:rsidRPr="00722166">
                    <w:rPr>
                      <w:rFonts w:ascii="Verdana" w:eastAsia="Times New Roman" w:hAnsi="Verdana" w:cs="Times New Roman"/>
                      <w:color w:val="000000"/>
                      <w:sz w:val="20"/>
                      <w:szCs w:val="20"/>
                    </w:rPr>
                    <w:t>Good</w:t>
                  </w:r>
                </w:p>
              </w:tc>
              <w:tc>
                <w:tcPr>
                  <w:tcW w:w="440" w:type="dxa"/>
                  <w:tcBorders>
                    <w:top w:val="nil"/>
                    <w:left w:val="nil"/>
                    <w:bottom w:val="nil"/>
                    <w:right w:val="nil"/>
                  </w:tcBorders>
                  <w:shd w:val="clear" w:color="000000" w:fill="D9D9D9"/>
                  <w:noWrap/>
                  <w:vAlign w:val="bottom"/>
                  <w:hideMark/>
                </w:tcPr>
                <w:p w14:paraId="26165995" w14:textId="77777777" w:rsidR="00722166" w:rsidRPr="00722166" w:rsidRDefault="00722166" w:rsidP="00722166">
                  <w:pPr>
                    <w:spacing w:after="0" w:line="240" w:lineRule="auto"/>
                    <w:rPr>
                      <w:rFonts w:ascii="Verdana" w:eastAsia="Times New Roman" w:hAnsi="Verdana" w:cs="Times New Roman"/>
                      <w:color w:val="000000"/>
                      <w:sz w:val="20"/>
                      <w:szCs w:val="20"/>
                    </w:rPr>
                  </w:pPr>
                  <w:r w:rsidRPr="00722166">
                    <w:rPr>
                      <w:rFonts w:ascii="Verdana" w:eastAsia="Times New Roman" w:hAnsi="Verdana" w:cs="Times New Roman"/>
                      <w:color w:val="000000"/>
                      <w:sz w:val="20"/>
                      <w:szCs w:val="20"/>
                    </w:rPr>
                    <w:t> </w:t>
                  </w:r>
                </w:p>
              </w:tc>
            </w:tr>
            <w:tr w:rsidR="00722166" w:rsidRPr="00722166" w14:paraId="408D3164" w14:textId="77777777" w:rsidTr="00857366">
              <w:trPr>
                <w:trHeight w:val="255"/>
              </w:trPr>
              <w:tc>
                <w:tcPr>
                  <w:tcW w:w="440" w:type="dxa"/>
                  <w:tcBorders>
                    <w:top w:val="nil"/>
                    <w:left w:val="nil"/>
                    <w:bottom w:val="nil"/>
                    <w:right w:val="nil"/>
                  </w:tcBorders>
                  <w:shd w:val="clear" w:color="000000" w:fill="D9D9D9"/>
                  <w:noWrap/>
                  <w:vAlign w:val="bottom"/>
                  <w:hideMark/>
                </w:tcPr>
                <w:p w14:paraId="7CB4A39A" w14:textId="77777777" w:rsidR="00722166" w:rsidRPr="00722166" w:rsidRDefault="00722166" w:rsidP="00722166">
                  <w:pPr>
                    <w:spacing w:after="0" w:line="240" w:lineRule="auto"/>
                    <w:rPr>
                      <w:rFonts w:ascii="Verdana" w:eastAsia="Times New Roman" w:hAnsi="Verdana" w:cs="Times New Roman"/>
                      <w:color w:val="000000"/>
                      <w:sz w:val="20"/>
                      <w:szCs w:val="20"/>
                    </w:rPr>
                  </w:pPr>
                  <w:r w:rsidRPr="00722166">
                    <w:rPr>
                      <w:rFonts w:ascii="Verdana" w:eastAsia="Times New Roman" w:hAnsi="Verdana" w:cs="Times New Roman"/>
                      <w:color w:val="000000"/>
                      <w:sz w:val="20"/>
                      <w:szCs w:val="20"/>
                    </w:rPr>
                    <w:t> </w:t>
                  </w:r>
                </w:p>
              </w:tc>
              <w:tc>
                <w:tcPr>
                  <w:tcW w:w="1660" w:type="dxa"/>
                  <w:tcBorders>
                    <w:top w:val="nil"/>
                    <w:left w:val="nil"/>
                    <w:bottom w:val="nil"/>
                    <w:right w:val="nil"/>
                  </w:tcBorders>
                  <w:shd w:val="clear" w:color="auto" w:fill="auto"/>
                  <w:noWrap/>
                  <w:vAlign w:val="bottom"/>
                  <w:hideMark/>
                </w:tcPr>
                <w:p w14:paraId="38F5374B" w14:textId="77777777" w:rsidR="00722166" w:rsidRPr="00722166" w:rsidRDefault="00722166" w:rsidP="00722166">
                  <w:pPr>
                    <w:spacing w:after="0" w:line="240" w:lineRule="auto"/>
                    <w:rPr>
                      <w:rFonts w:ascii="Verdana" w:eastAsia="Times New Roman" w:hAnsi="Verdana" w:cs="Times New Roman"/>
                      <w:color w:val="000000"/>
                      <w:sz w:val="20"/>
                      <w:szCs w:val="20"/>
                    </w:rPr>
                  </w:pPr>
                  <w:r w:rsidRPr="00722166">
                    <w:rPr>
                      <w:rFonts w:ascii="Verdana" w:eastAsia="Times New Roman" w:hAnsi="Verdana" w:cs="Times New Roman"/>
                      <w:color w:val="000000"/>
                      <w:sz w:val="20"/>
                      <w:szCs w:val="20"/>
                    </w:rPr>
                    <w:t>S&amp;P</w:t>
                  </w:r>
                </w:p>
              </w:tc>
              <w:tc>
                <w:tcPr>
                  <w:tcW w:w="1660" w:type="dxa"/>
                  <w:tcBorders>
                    <w:top w:val="nil"/>
                    <w:left w:val="single" w:sz="8" w:space="0" w:color="015190"/>
                    <w:bottom w:val="nil"/>
                    <w:right w:val="nil"/>
                  </w:tcBorders>
                  <w:shd w:val="clear" w:color="auto" w:fill="auto"/>
                  <w:noWrap/>
                  <w:vAlign w:val="bottom"/>
                  <w:hideMark/>
                </w:tcPr>
                <w:p w14:paraId="325704E6" w14:textId="77777777" w:rsidR="00722166" w:rsidRPr="00722166" w:rsidRDefault="00722166" w:rsidP="00A76CCC">
                  <w:pPr>
                    <w:tabs>
                      <w:tab w:val="right" w:pos="1381"/>
                    </w:tabs>
                    <w:spacing w:after="0" w:line="240" w:lineRule="auto"/>
                    <w:jc w:val="right"/>
                    <w:rPr>
                      <w:rFonts w:ascii="Verdana" w:eastAsia="Times New Roman" w:hAnsi="Verdana" w:cs="Times New Roman"/>
                      <w:color w:val="000000"/>
                      <w:sz w:val="20"/>
                      <w:szCs w:val="20"/>
                    </w:rPr>
                  </w:pPr>
                  <w:r w:rsidRPr="009826C3">
                    <w:rPr>
                      <w:rFonts w:ascii="Verdana" w:eastAsia="Times New Roman" w:hAnsi="Verdana" w:cs="Times New Roman"/>
                      <w:b/>
                      <w:bCs/>
                      <w:color w:val="015294"/>
                      <w:sz w:val="20"/>
                      <w:szCs w:val="20"/>
                    </w:rPr>
                    <w:t>A</w:t>
                  </w:r>
                  <w:r w:rsidR="00A76CCC">
                    <w:rPr>
                      <w:noProof/>
                    </w:rPr>
                    <w:tab/>
                  </w:r>
                  <w:r w:rsidRPr="00722166">
                    <w:rPr>
                      <w:rFonts w:ascii="Verdana" w:eastAsia="Times New Roman" w:hAnsi="Verdana" w:cs="Times New Roman"/>
                      <w:color w:val="000000"/>
                      <w:sz w:val="20"/>
                      <w:szCs w:val="20"/>
                    </w:rPr>
                    <w:t>Strong</w:t>
                  </w:r>
                </w:p>
              </w:tc>
              <w:tc>
                <w:tcPr>
                  <w:tcW w:w="440" w:type="dxa"/>
                  <w:tcBorders>
                    <w:top w:val="nil"/>
                    <w:left w:val="nil"/>
                    <w:bottom w:val="nil"/>
                    <w:right w:val="nil"/>
                  </w:tcBorders>
                  <w:shd w:val="clear" w:color="000000" w:fill="D9D9D9"/>
                  <w:noWrap/>
                  <w:vAlign w:val="bottom"/>
                  <w:hideMark/>
                </w:tcPr>
                <w:p w14:paraId="4F63BE6D" w14:textId="77777777" w:rsidR="00722166" w:rsidRPr="00722166" w:rsidRDefault="00722166" w:rsidP="00722166">
                  <w:pPr>
                    <w:spacing w:after="0" w:line="240" w:lineRule="auto"/>
                    <w:rPr>
                      <w:rFonts w:ascii="Verdana" w:eastAsia="Times New Roman" w:hAnsi="Verdana" w:cs="Times New Roman"/>
                      <w:color w:val="000000"/>
                      <w:sz w:val="20"/>
                      <w:szCs w:val="20"/>
                    </w:rPr>
                  </w:pPr>
                  <w:r w:rsidRPr="00722166">
                    <w:rPr>
                      <w:rFonts w:ascii="Verdana" w:eastAsia="Times New Roman" w:hAnsi="Verdana" w:cs="Times New Roman"/>
                      <w:color w:val="000000"/>
                      <w:sz w:val="20"/>
                      <w:szCs w:val="20"/>
                    </w:rPr>
                    <w:t> </w:t>
                  </w:r>
                </w:p>
              </w:tc>
            </w:tr>
            <w:tr w:rsidR="00722166" w:rsidRPr="00722166" w14:paraId="242F9136" w14:textId="77777777" w:rsidTr="00857366">
              <w:trPr>
                <w:trHeight w:val="840"/>
              </w:trPr>
              <w:tc>
                <w:tcPr>
                  <w:tcW w:w="440" w:type="dxa"/>
                  <w:tcBorders>
                    <w:top w:val="nil"/>
                    <w:left w:val="nil"/>
                    <w:bottom w:val="nil"/>
                    <w:right w:val="nil"/>
                  </w:tcBorders>
                  <w:shd w:val="clear" w:color="000000" w:fill="D9D9D9"/>
                  <w:vAlign w:val="center"/>
                  <w:hideMark/>
                </w:tcPr>
                <w:p w14:paraId="03ACA259" w14:textId="77777777" w:rsidR="00722166" w:rsidRPr="00722166" w:rsidRDefault="00722166" w:rsidP="00722166">
                  <w:pPr>
                    <w:spacing w:after="0" w:line="240" w:lineRule="auto"/>
                    <w:rPr>
                      <w:rFonts w:ascii="Verdana" w:eastAsia="Times New Roman" w:hAnsi="Verdana" w:cs="Times New Roman"/>
                      <w:color w:val="000000"/>
                      <w:sz w:val="20"/>
                      <w:szCs w:val="20"/>
                    </w:rPr>
                  </w:pPr>
                  <w:r w:rsidRPr="00722166">
                    <w:rPr>
                      <w:rFonts w:ascii="Verdana" w:eastAsia="Times New Roman" w:hAnsi="Verdana" w:cs="Times New Roman"/>
                      <w:color w:val="000000"/>
                      <w:sz w:val="20"/>
                      <w:szCs w:val="20"/>
                    </w:rPr>
                    <w:t> </w:t>
                  </w:r>
                </w:p>
              </w:tc>
              <w:tc>
                <w:tcPr>
                  <w:tcW w:w="3320" w:type="dxa"/>
                  <w:gridSpan w:val="2"/>
                  <w:tcBorders>
                    <w:top w:val="nil"/>
                    <w:left w:val="nil"/>
                    <w:bottom w:val="nil"/>
                    <w:right w:val="nil"/>
                  </w:tcBorders>
                  <w:shd w:val="clear" w:color="000000" w:fill="D9D9D9"/>
                  <w:vAlign w:val="center"/>
                  <w:hideMark/>
                </w:tcPr>
                <w:p w14:paraId="10DCDBB8" w14:textId="77777777" w:rsidR="00722166" w:rsidRPr="00722166" w:rsidRDefault="00722166" w:rsidP="00C07FFB">
                  <w:pPr>
                    <w:spacing w:after="0" w:line="180" w:lineRule="exact"/>
                    <w:jc w:val="center"/>
                    <w:rPr>
                      <w:rFonts w:ascii="Verdana" w:eastAsia="Times New Roman" w:hAnsi="Verdana" w:cs="Times New Roman"/>
                      <w:color w:val="000000"/>
                      <w:sz w:val="16"/>
                      <w:szCs w:val="16"/>
                    </w:rPr>
                  </w:pPr>
                  <w:r w:rsidRPr="00722166">
                    <w:rPr>
                      <w:rFonts w:ascii="Verdana" w:eastAsia="Times New Roman" w:hAnsi="Verdana" w:cs="Times New Roman"/>
                      <w:color w:val="000000"/>
                      <w:sz w:val="16"/>
                      <w:szCs w:val="16"/>
                    </w:rPr>
                    <w:t>Ratings are given to the US Insuring Subsidiaries</w:t>
                  </w:r>
                  <w:r w:rsidR="00C60689">
                    <w:rPr>
                      <w:rFonts w:ascii="Verdana" w:eastAsia="Times New Roman" w:hAnsi="Verdana" w:cs="Times New Roman"/>
                      <w:color w:val="000000"/>
                      <w:sz w:val="16"/>
                      <w:szCs w:val="16"/>
                    </w:rPr>
                    <w:t xml:space="preserve"> </w:t>
                  </w:r>
                  <w:r w:rsidRPr="00722166">
                    <w:rPr>
                      <w:rFonts w:ascii="Verdana" w:eastAsia="Times New Roman" w:hAnsi="Verdana" w:cs="Times New Roman"/>
                      <w:color w:val="000000"/>
                      <w:sz w:val="16"/>
                      <w:szCs w:val="16"/>
                    </w:rPr>
                    <w:t xml:space="preserve">of Unum Group and are current as of </w:t>
                  </w:r>
                  <w:r w:rsidR="001A59F1">
                    <w:rPr>
                      <w:rFonts w:ascii="Verdana" w:eastAsia="Times New Roman" w:hAnsi="Verdana" w:cs="Times New Roman"/>
                      <w:color w:val="000000"/>
                      <w:sz w:val="16"/>
                      <w:szCs w:val="16"/>
                    </w:rPr>
                    <w:t>June 4, 2024</w:t>
                  </w:r>
                </w:p>
              </w:tc>
              <w:tc>
                <w:tcPr>
                  <w:tcW w:w="440" w:type="dxa"/>
                  <w:tcBorders>
                    <w:top w:val="nil"/>
                    <w:left w:val="nil"/>
                    <w:bottom w:val="nil"/>
                    <w:right w:val="nil"/>
                  </w:tcBorders>
                  <w:shd w:val="clear" w:color="000000" w:fill="D9D9D9"/>
                  <w:vAlign w:val="center"/>
                  <w:hideMark/>
                </w:tcPr>
                <w:p w14:paraId="03E5DBD8" w14:textId="77777777" w:rsidR="00722166" w:rsidRPr="00722166" w:rsidRDefault="00722166" w:rsidP="00722166">
                  <w:pPr>
                    <w:spacing w:after="0" w:line="240" w:lineRule="auto"/>
                    <w:rPr>
                      <w:rFonts w:ascii="Verdana" w:eastAsia="Times New Roman" w:hAnsi="Verdana" w:cs="Times New Roman"/>
                      <w:color w:val="000000"/>
                      <w:sz w:val="20"/>
                      <w:szCs w:val="20"/>
                    </w:rPr>
                  </w:pPr>
                  <w:r w:rsidRPr="00722166">
                    <w:rPr>
                      <w:rFonts w:ascii="Verdana" w:eastAsia="Times New Roman" w:hAnsi="Verdana" w:cs="Times New Roman"/>
                      <w:color w:val="000000"/>
                      <w:sz w:val="20"/>
                      <w:szCs w:val="20"/>
                    </w:rPr>
                    <w:t> </w:t>
                  </w:r>
                </w:p>
              </w:tc>
            </w:tr>
          </w:tbl>
          <w:p w14:paraId="4FE290BE" w14:textId="77777777" w:rsidR="00DB4922" w:rsidRPr="00DE5E6F" w:rsidRDefault="00DB4922" w:rsidP="00DB4922">
            <w:pPr>
              <w:spacing w:line="280" w:lineRule="exact"/>
              <w:ind w:left="-18"/>
              <w:rPr>
                <w:rFonts w:ascii="Verdana" w:hAnsi="Verdana"/>
                <w:noProof/>
                <w:sz w:val="19"/>
                <w:szCs w:val="19"/>
              </w:rPr>
            </w:pPr>
          </w:p>
        </w:tc>
      </w:tr>
    </w:tbl>
    <w:p w14:paraId="0BB4A5C0" w14:textId="77777777" w:rsidR="00C31E34" w:rsidRPr="001923A4" w:rsidRDefault="00C31E34" w:rsidP="001923A4">
      <w:pPr>
        <w:suppressAutoHyphens/>
        <w:autoSpaceDE w:val="0"/>
        <w:autoSpaceDN w:val="0"/>
        <w:adjustRightInd w:val="0"/>
        <w:spacing w:before="60" w:after="0" w:line="240" w:lineRule="auto"/>
        <w:ind w:left="720" w:right="806"/>
        <w:textAlignment w:val="center"/>
        <w:rPr>
          <w:rFonts w:ascii="Arial" w:hAnsi="Arial" w:cs="Arial"/>
          <w:color w:val="000000"/>
          <w:sz w:val="14"/>
          <w:szCs w:val="14"/>
        </w:rPr>
      </w:pPr>
      <w:bookmarkStart w:id="4" w:name="_Hlk35935694"/>
      <w:r w:rsidRPr="001923A4">
        <w:rPr>
          <w:rFonts w:ascii="Arial" w:hAnsi="Arial" w:cs="Arial"/>
          <w:color w:val="000000"/>
          <w:sz w:val="14"/>
          <w:szCs w:val="14"/>
          <w:vertAlign w:val="superscript"/>
        </w:rPr>
        <w:t>1</w:t>
      </w:r>
      <w:r w:rsidRPr="001923A4">
        <w:rPr>
          <w:rFonts w:ascii="Arial" w:hAnsi="Arial" w:cs="Arial"/>
          <w:color w:val="000000"/>
          <w:sz w:val="14"/>
          <w:szCs w:val="14"/>
        </w:rPr>
        <w:t>Employee Benefit Plan Review, “Group Accident &amp; Health Surveys 1976-1990” (1977-1991); Gen Re, “U.S. Group Disability Market  Surveys 1991-2013” (1992-2014); LIMRA, “U.S. Group Disability Insurance 2014-201</w:t>
      </w:r>
      <w:r w:rsidR="001475E5" w:rsidRPr="001923A4">
        <w:rPr>
          <w:rFonts w:ascii="Arial" w:hAnsi="Arial" w:cs="Arial"/>
          <w:color w:val="000000"/>
          <w:sz w:val="14"/>
          <w:szCs w:val="14"/>
        </w:rPr>
        <w:t>6</w:t>
      </w:r>
      <w:r w:rsidRPr="001923A4">
        <w:rPr>
          <w:rFonts w:ascii="Arial" w:hAnsi="Arial" w:cs="Arial"/>
          <w:color w:val="000000"/>
          <w:sz w:val="14"/>
          <w:szCs w:val="14"/>
        </w:rPr>
        <w:t xml:space="preserve"> Annual Sales </w:t>
      </w:r>
      <w:r w:rsidR="00746AF0" w:rsidRPr="001923A4">
        <w:rPr>
          <w:rFonts w:ascii="Arial" w:hAnsi="Arial" w:cs="Arial"/>
          <w:color w:val="000000"/>
          <w:sz w:val="14"/>
          <w:szCs w:val="14"/>
        </w:rPr>
        <w:t>&amp;</w:t>
      </w:r>
      <w:r w:rsidRPr="001923A4">
        <w:rPr>
          <w:rFonts w:ascii="Arial" w:hAnsi="Arial" w:cs="Arial"/>
          <w:color w:val="000000"/>
          <w:sz w:val="14"/>
          <w:szCs w:val="14"/>
        </w:rPr>
        <w:t xml:space="preserve"> </w:t>
      </w:r>
      <w:r w:rsidR="00746AF0" w:rsidRPr="001923A4">
        <w:rPr>
          <w:rFonts w:ascii="Arial" w:hAnsi="Arial" w:cs="Arial"/>
          <w:color w:val="000000"/>
          <w:sz w:val="14"/>
          <w:szCs w:val="14"/>
        </w:rPr>
        <w:t>Inf</w:t>
      </w:r>
      <w:r w:rsidRPr="001923A4">
        <w:rPr>
          <w:rFonts w:ascii="Arial" w:hAnsi="Arial" w:cs="Arial"/>
          <w:color w:val="000000"/>
          <w:sz w:val="14"/>
          <w:szCs w:val="14"/>
        </w:rPr>
        <w:t>orce” (2015-201</w:t>
      </w:r>
      <w:r w:rsidR="001475E5" w:rsidRPr="001923A4">
        <w:rPr>
          <w:rFonts w:ascii="Arial" w:hAnsi="Arial" w:cs="Arial"/>
          <w:color w:val="000000"/>
          <w:sz w:val="14"/>
          <w:szCs w:val="14"/>
        </w:rPr>
        <w:t>7</w:t>
      </w:r>
      <w:r w:rsidRPr="001923A4">
        <w:rPr>
          <w:rFonts w:ascii="Arial" w:hAnsi="Arial" w:cs="Arial"/>
          <w:color w:val="000000"/>
          <w:sz w:val="14"/>
          <w:szCs w:val="14"/>
        </w:rPr>
        <w:t xml:space="preserve">); LIMRA,  4Q </w:t>
      </w:r>
      <w:r w:rsidR="001475E5" w:rsidRPr="001923A4">
        <w:rPr>
          <w:rFonts w:ascii="Arial" w:hAnsi="Arial" w:cs="Arial"/>
          <w:color w:val="000000"/>
          <w:sz w:val="14"/>
          <w:szCs w:val="14"/>
        </w:rPr>
        <w:t>2017-2019</w:t>
      </w:r>
      <w:r w:rsidRPr="001923A4">
        <w:rPr>
          <w:rFonts w:ascii="Arial" w:hAnsi="Arial" w:cs="Arial"/>
          <w:color w:val="000000"/>
          <w:sz w:val="14"/>
          <w:szCs w:val="14"/>
        </w:rPr>
        <w:t xml:space="preserve"> U.S. Workplace Disability Insurance Inforce (</w:t>
      </w:r>
      <w:r w:rsidR="001475E5" w:rsidRPr="001923A4">
        <w:rPr>
          <w:rFonts w:ascii="Arial" w:hAnsi="Arial" w:cs="Arial"/>
          <w:color w:val="000000"/>
          <w:sz w:val="14"/>
          <w:szCs w:val="14"/>
        </w:rPr>
        <w:t>2018-2020</w:t>
      </w:r>
      <w:r w:rsidRPr="001923A4">
        <w:rPr>
          <w:rFonts w:ascii="Arial" w:hAnsi="Arial" w:cs="Arial"/>
          <w:color w:val="000000"/>
          <w:sz w:val="14"/>
          <w:szCs w:val="14"/>
        </w:rPr>
        <w:t>)</w:t>
      </w:r>
      <w:r w:rsidR="001475E5" w:rsidRPr="001923A4">
        <w:rPr>
          <w:rFonts w:ascii="Arial" w:hAnsi="Arial" w:cs="Arial"/>
          <w:color w:val="000000"/>
          <w:sz w:val="14"/>
          <w:szCs w:val="14"/>
        </w:rPr>
        <w:t>; LIMRA, U.S. Workplace Disability Inforce Report 4Q 2020-2021 (2021-2022</w:t>
      </w:r>
      <w:r w:rsidR="009A73A9" w:rsidRPr="001923A4">
        <w:rPr>
          <w:rFonts w:ascii="Arial" w:hAnsi="Arial" w:cs="Arial"/>
          <w:color w:val="000000"/>
          <w:sz w:val="14"/>
          <w:szCs w:val="14"/>
        </w:rPr>
        <w:t>)</w:t>
      </w:r>
      <w:r w:rsidR="001475E5" w:rsidRPr="001923A4">
        <w:rPr>
          <w:rFonts w:ascii="Arial" w:hAnsi="Arial" w:cs="Arial"/>
          <w:color w:val="000000"/>
          <w:sz w:val="14"/>
          <w:szCs w:val="14"/>
        </w:rPr>
        <w:t xml:space="preserve"> </w:t>
      </w:r>
      <w:r w:rsidR="00746AF0" w:rsidRPr="001923A4">
        <w:rPr>
          <w:rFonts w:ascii="Arial" w:hAnsi="Arial" w:cs="Arial"/>
          <w:color w:val="000000"/>
          <w:sz w:val="14"/>
          <w:szCs w:val="14"/>
        </w:rPr>
        <w:t>T</w:t>
      </w:r>
      <w:r w:rsidR="001475E5" w:rsidRPr="001923A4">
        <w:rPr>
          <w:rFonts w:ascii="Arial" w:hAnsi="Arial" w:cs="Arial"/>
          <w:color w:val="000000"/>
          <w:sz w:val="14"/>
          <w:szCs w:val="14"/>
        </w:rPr>
        <w:t>otal Group Disability</w:t>
      </w:r>
      <w:r w:rsidRPr="001923A4">
        <w:rPr>
          <w:rFonts w:ascii="Arial" w:hAnsi="Arial" w:cs="Arial"/>
          <w:color w:val="000000"/>
          <w:sz w:val="14"/>
          <w:szCs w:val="14"/>
        </w:rPr>
        <w:t>.</w:t>
      </w:r>
    </w:p>
    <w:bookmarkEnd w:id="4"/>
    <w:p w14:paraId="2C4766C8" w14:textId="77777777" w:rsidR="001923A4" w:rsidRPr="001923A4" w:rsidRDefault="00C31E34" w:rsidP="001923A4">
      <w:pPr>
        <w:suppressAutoHyphens/>
        <w:autoSpaceDE w:val="0"/>
        <w:autoSpaceDN w:val="0"/>
        <w:adjustRightInd w:val="0"/>
        <w:spacing w:after="0" w:line="240" w:lineRule="auto"/>
        <w:ind w:left="720"/>
        <w:textAlignment w:val="center"/>
        <w:rPr>
          <w:rFonts w:ascii="Arial" w:hAnsi="Arial" w:cs="Arial"/>
          <w:color w:val="000000"/>
          <w:sz w:val="14"/>
          <w:szCs w:val="14"/>
        </w:rPr>
      </w:pPr>
      <w:r w:rsidRPr="001923A4">
        <w:rPr>
          <w:rFonts w:ascii="Arial" w:hAnsi="Arial" w:cs="Arial"/>
          <w:color w:val="000000"/>
          <w:sz w:val="14"/>
          <w:szCs w:val="14"/>
          <w:vertAlign w:val="superscript"/>
        </w:rPr>
        <w:t>2</w:t>
      </w:r>
      <w:r w:rsidRPr="001923A4">
        <w:rPr>
          <w:rFonts w:ascii="Arial" w:hAnsi="Arial" w:cs="Arial"/>
          <w:color w:val="000000"/>
          <w:sz w:val="14"/>
          <w:szCs w:val="14"/>
        </w:rPr>
        <w:t xml:space="preserve">Fortune, “Fortune </w:t>
      </w:r>
      <w:r w:rsidR="0011571D" w:rsidRPr="001923A4">
        <w:rPr>
          <w:rFonts w:ascii="Arial" w:hAnsi="Arial" w:cs="Arial"/>
          <w:color w:val="000000"/>
          <w:sz w:val="14"/>
          <w:szCs w:val="14"/>
        </w:rPr>
        <w:t>5</w:t>
      </w:r>
      <w:r w:rsidRPr="001923A4">
        <w:rPr>
          <w:rFonts w:ascii="Arial" w:hAnsi="Arial" w:cs="Arial"/>
          <w:color w:val="000000"/>
          <w:sz w:val="14"/>
          <w:szCs w:val="14"/>
        </w:rPr>
        <w:t>00 20</w:t>
      </w:r>
      <w:r w:rsidR="00E558ED" w:rsidRPr="001923A4">
        <w:rPr>
          <w:rFonts w:ascii="Arial" w:hAnsi="Arial" w:cs="Arial"/>
          <w:color w:val="000000"/>
          <w:sz w:val="14"/>
          <w:szCs w:val="14"/>
        </w:rPr>
        <w:t>21</w:t>
      </w:r>
      <w:r w:rsidRPr="001923A4">
        <w:rPr>
          <w:rFonts w:ascii="Arial" w:hAnsi="Arial" w:cs="Arial"/>
          <w:color w:val="000000"/>
          <w:sz w:val="14"/>
          <w:szCs w:val="14"/>
        </w:rPr>
        <w:t>,” (20</w:t>
      </w:r>
      <w:r w:rsidR="00E558ED" w:rsidRPr="001923A4">
        <w:rPr>
          <w:rFonts w:ascii="Arial" w:hAnsi="Arial" w:cs="Arial"/>
          <w:color w:val="000000"/>
          <w:sz w:val="14"/>
          <w:szCs w:val="14"/>
        </w:rPr>
        <w:t>21</w:t>
      </w:r>
      <w:r w:rsidRPr="001923A4">
        <w:rPr>
          <w:rFonts w:ascii="Arial" w:hAnsi="Arial" w:cs="Arial"/>
          <w:color w:val="000000"/>
          <w:sz w:val="14"/>
          <w:szCs w:val="14"/>
        </w:rPr>
        <w:t>); Unum customer database, 20</w:t>
      </w:r>
      <w:r w:rsidR="00E558ED" w:rsidRPr="001923A4">
        <w:rPr>
          <w:rFonts w:ascii="Arial" w:hAnsi="Arial" w:cs="Arial"/>
          <w:color w:val="000000"/>
          <w:sz w:val="14"/>
          <w:szCs w:val="14"/>
        </w:rPr>
        <w:t>21</w:t>
      </w:r>
      <w:r w:rsidRPr="001923A4">
        <w:rPr>
          <w:rFonts w:ascii="Arial" w:hAnsi="Arial" w:cs="Arial"/>
          <w:color w:val="000000"/>
          <w:sz w:val="14"/>
          <w:szCs w:val="14"/>
        </w:rPr>
        <w:t>.</w:t>
      </w:r>
    </w:p>
    <w:p w14:paraId="4A3ECAB1" w14:textId="77777777" w:rsidR="00426BE0" w:rsidRDefault="00746AF0" w:rsidP="00EF64CB">
      <w:pPr>
        <w:suppressAutoHyphens/>
        <w:autoSpaceDE w:val="0"/>
        <w:autoSpaceDN w:val="0"/>
        <w:adjustRightInd w:val="0"/>
        <w:spacing w:after="0" w:line="240" w:lineRule="auto"/>
        <w:ind w:left="720"/>
        <w:textAlignment w:val="center"/>
        <w:sectPr w:rsidR="00426BE0" w:rsidSect="000E46C2">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720" w:header="720" w:footer="720" w:gutter="0"/>
          <w:cols w:space="720"/>
          <w:docGrid w:linePitch="360"/>
        </w:sectPr>
      </w:pPr>
      <w:r w:rsidRPr="001923A4">
        <w:rPr>
          <w:rFonts w:ascii="Arial" w:hAnsi="Arial" w:cs="Arial"/>
          <w:color w:val="000000"/>
          <w:sz w:val="14"/>
          <w:szCs w:val="14"/>
          <w:vertAlign w:val="superscript"/>
        </w:rPr>
        <w:t>3</w:t>
      </w:r>
      <w:r w:rsidRPr="001923A4">
        <w:rPr>
          <w:rFonts w:ascii="Arial" w:hAnsi="Arial" w:cs="Arial"/>
          <w:color w:val="000000"/>
          <w:sz w:val="14"/>
          <w:szCs w:val="14"/>
        </w:rPr>
        <w:t>Unum internal data, 2023.</w:t>
      </w:r>
    </w:p>
    <w:tbl>
      <w:tblPr>
        <w:tblW w:w="5000" w:type="pct"/>
        <w:tblLook w:val="04A0" w:firstRow="1" w:lastRow="0" w:firstColumn="1" w:lastColumn="0" w:noHBand="0" w:noVBand="1"/>
      </w:tblPr>
      <w:tblGrid>
        <w:gridCol w:w="1601"/>
        <w:gridCol w:w="9189"/>
      </w:tblGrid>
      <w:tr w:rsidR="002C5697" w14:paraId="5D7C5366" w14:textId="77777777" w:rsidTr="002C5697">
        <w:trPr>
          <w:trHeight w:val="240"/>
          <w:tblHeader/>
        </w:trPr>
        <w:tc>
          <w:tcPr>
            <w:tcW w:w="742" w:type="pct"/>
            <w:tcBorders>
              <w:top w:val="single" w:sz="4" w:space="0" w:color="auto"/>
              <w:left w:val="single" w:sz="4" w:space="0" w:color="auto"/>
              <w:bottom w:val="single" w:sz="4" w:space="0" w:color="auto"/>
              <w:right w:val="single" w:sz="4" w:space="0" w:color="auto"/>
            </w:tcBorders>
            <w:shd w:val="clear" w:color="000000" w:fill="00A9CE"/>
            <w:noWrap/>
            <w:vAlign w:val="center"/>
            <w:hideMark/>
          </w:tcPr>
          <w:p w14:paraId="2723B581" w14:textId="77777777" w:rsidR="002C5697" w:rsidRDefault="002C5697" w:rsidP="002C5697">
            <w:pPr>
              <w:spacing w:after="0" w:line="240" w:lineRule="auto"/>
              <w:jc w:val="center"/>
              <w:rPr>
                <w:rFonts w:ascii="Verdana" w:hAnsi="Verdana"/>
                <w:color w:val="FFFFFF"/>
                <w:sz w:val="18"/>
                <w:szCs w:val="18"/>
              </w:rPr>
            </w:pPr>
            <w:bookmarkStart w:id="5" w:name="AllSTD"/>
            <w:r>
              <w:rPr>
                <w:rFonts w:ascii="Verdana" w:hAnsi="Verdana"/>
                <w:color w:val="FFFFFF"/>
                <w:sz w:val="18"/>
                <w:szCs w:val="18"/>
              </w:rPr>
              <w:lastRenderedPageBreak/>
              <w:t>Class Number</w:t>
            </w:r>
          </w:p>
        </w:tc>
        <w:tc>
          <w:tcPr>
            <w:tcW w:w="4258" w:type="pct"/>
            <w:tcBorders>
              <w:top w:val="single" w:sz="4" w:space="0" w:color="auto"/>
              <w:left w:val="nil"/>
              <w:bottom w:val="single" w:sz="4" w:space="0" w:color="auto"/>
              <w:right w:val="single" w:sz="4" w:space="0" w:color="auto"/>
            </w:tcBorders>
            <w:shd w:val="clear" w:color="000000" w:fill="00A9CE"/>
            <w:noWrap/>
            <w:vAlign w:val="bottom"/>
            <w:hideMark/>
          </w:tcPr>
          <w:p w14:paraId="1FF6E357" w14:textId="77777777" w:rsidR="002C5697" w:rsidRDefault="002C5697" w:rsidP="002C5697">
            <w:pPr>
              <w:spacing w:after="0" w:line="240" w:lineRule="auto"/>
              <w:rPr>
                <w:rFonts w:ascii="Verdana" w:hAnsi="Verdana"/>
                <w:color w:val="FFFFFF"/>
                <w:sz w:val="18"/>
                <w:szCs w:val="18"/>
              </w:rPr>
            </w:pPr>
            <w:r>
              <w:rPr>
                <w:rFonts w:ascii="Verdana" w:hAnsi="Verdana"/>
                <w:color w:val="FFFFFF"/>
                <w:sz w:val="18"/>
                <w:szCs w:val="18"/>
              </w:rPr>
              <w:t>Class Description</w:t>
            </w:r>
          </w:p>
        </w:tc>
      </w:tr>
      <w:tr w:rsidR="002C5697" w14:paraId="7E349CC3" w14:textId="77777777" w:rsidTr="002C5697">
        <w:trPr>
          <w:trHeight w:val="300"/>
        </w:trPr>
        <w:tc>
          <w:tcPr>
            <w:tcW w:w="742" w:type="pct"/>
            <w:tcBorders>
              <w:top w:val="nil"/>
              <w:left w:val="single" w:sz="4" w:space="0" w:color="auto"/>
              <w:bottom w:val="single" w:sz="4" w:space="0" w:color="auto"/>
              <w:right w:val="single" w:sz="4" w:space="0" w:color="auto"/>
            </w:tcBorders>
            <w:shd w:val="clear" w:color="auto" w:fill="auto"/>
            <w:noWrap/>
            <w:vAlign w:val="center"/>
            <w:hideMark/>
          </w:tcPr>
          <w:p w14:paraId="0598653F" w14:textId="77777777" w:rsidR="002C5697" w:rsidRDefault="002C5697" w:rsidP="002C5697">
            <w:pPr>
              <w:spacing w:after="0" w:line="240" w:lineRule="auto"/>
              <w:jc w:val="center"/>
              <w:rPr>
                <w:rFonts w:ascii="Verdana" w:hAnsi="Verdana"/>
                <w:color w:val="000000"/>
                <w:sz w:val="18"/>
                <w:szCs w:val="18"/>
              </w:rPr>
            </w:pPr>
            <w:r>
              <w:rPr>
                <w:rFonts w:ascii="Verdana" w:hAnsi="Verdana"/>
                <w:color w:val="000000"/>
                <w:sz w:val="18"/>
                <w:szCs w:val="18"/>
              </w:rPr>
              <w:t>1</w:t>
            </w:r>
          </w:p>
        </w:tc>
        <w:tc>
          <w:tcPr>
            <w:tcW w:w="4258" w:type="pct"/>
            <w:tcBorders>
              <w:top w:val="nil"/>
              <w:left w:val="nil"/>
              <w:bottom w:val="single" w:sz="4" w:space="0" w:color="auto"/>
              <w:right w:val="single" w:sz="4" w:space="0" w:color="auto"/>
            </w:tcBorders>
            <w:shd w:val="clear" w:color="auto" w:fill="auto"/>
            <w:vAlign w:val="center"/>
            <w:hideMark/>
          </w:tcPr>
          <w:p w14:paraId="4270D8A9" w14:textId="77777777" w:rsidR="002C5697" w:rsidRDefault="002C5697" w:rsidP="002C5697">
            <w:pPr>
              <w:spacing w:after="0" w:line="240" w:lineRule="auto"/>
              <w:rPr>
                <w:rFonts w:ascii="Verdana" w:hAnsi="Verdana"/>
                <w:color w:val="000000"/>
                <w:sz w:val="18"/>
                <w:szCs w:val="18"/>
              </w:rPr>
            </w:pPr>
            <w:r>
              <w:rPr>
                <w:rFonts w:ascii="Verdana" w:hAnsi="Verdana"/>
                <w:color w:val="000000"/>
                <w:sz w:val="18"/>
                <w:szCs w:val="18"/>
              </w:rPr>
              <w:t xml:space="preserve">All Full-Time Employees </w:t>
            </w:r>
          </w:p>
        </w:tc>
      </w:tr>
    </w:tbl>
    <w:p w14:paraId="6D55D595" w14:textId="77777777" w:rsidR="00140101" w:rsidRPr="005B73C7" w:rsidRDefault="00140101" w:rsidP="00DB355D">
      <w:pPr>
        <w:keepNext/>
        <w:spacing w:before="120" w:after="0"/>
        <w:rPr>
          <w:rFonts w:ascii="Verdana" w:eastAsia="Times New Roman" w:hAnsi="Verdana" w:cs="Times New Roman"/>
          <w:b/>
          <w:color w:val="000000" w:themeColor="text1"/>
          <w:sz w:val="24"/>
          <w:szCs w:val="24"/>
        </w:rPr>
      </w:pPr>
      <w:r w:rsidRPr="005B73C7">
        <w:rPr>
          <w:rFonts w:ascii="Verdana" w:eastAsia="Times New Roman" w:hAnsi="Verdana" w:cs="Times New Roman"/>
          <w:b/>
          <w:color w:val="000000" w:themeColor="text1"/>
          <w:sz w:val="24"/>
          <w:szCs w:val="24"/>
        </w:rPr>
        <w:t>Plan Design</w:t>
      </w:r>
    </w:p>
    <w:p w14:paraId="10EFAE24" w14:textId="77777777" w:rsidR="00140101" w:rsidRPr="005E13A8" w:rsidRDefault="00140101" w:rsidP="00140101">
      <w:pPr>
        <w:spacing w:after="0" w:line="180" w:lineRule="exact"/>
        <w:rPr>
          <w:rFonts w:ascii="Verdana" w:eastAsia="Times New Roman" w:hAnsi="Verdana" w:cs="Times New Roman"/>
          <w:b/>
          <w:bCs/>
          <w:color w:val="000000" w:themeColor="text1"/>
          <w:sz w:val="18"/>
          <w:szCs w:val="18"/>
        </w:rPr>
      </w:pPr>
    </w:p>
    <w:tbl>
      <w:tblPr>
        <w:tblW w:w="2181" w:type="pct"/>
        <w:tblLook w:val="04A0" w:firstRow="1" w:lastRow="0" w:firstColumn="1" w:lastColumn="0" w:noHBand="0" w:noVBand="1"/>
      </w:tblPr>
      <w:tblGrid>
        <w:gridCol w:w="2678"/>
        <w:gridCol w:w="2029"/>
      </w:tblGrid>
      <w:tr w:rsidR="00E57E27" w14:paraId="40209ABD" w14:textId="77777777" w:rsidTr="00E57E27">
        <w:trPr>
          <w:cantSplit/>
          <w:trHeight w:val="255"/>
          <w:tblHeader/>
        </w:trPr>
        <w:tc>
          <w:tcPr>
            <w:tcW w:w="2845" w:type="pct"/>
            <w:tcBorders>
              <w:top w:val="single" w:sz="4" w:space="0" w:color="auto"/>
              <w:left w:val="single" w:sz="4" w:space="0" w:color="auto"/>
              <w:bottom w:val="single" w:sz="4" w:space="0" w:color="auto"/>
              <w:right w:val="single" w:sz="4" w:space="0" w:color="auto"/>
            </w:tcBorders>
            <w:shd w:val="clear" w:color="000000" w:fill="00A9CE"/>
            <w:noWrap/>
            <w:vAlign w:val="center"/>
            <w:hideMark/>
          </w:tcPr>
          <w:p w14:paraId="1C5BC4EB" w14:textId="77777777" w:rsidR="00E57E27" w:rsidRDefault="00E57E27" w:rsidP="002C5697">
            <w:pPr>
              <w:spacing w:after="0" w:line="240" w:lineRule="auto"/>
              <w:rPr>
                <w:rFonts w:ascii="Verdana" w:hAnsi="Verdana"/>
                <w:color w:val="FFFFFF"/>
                <w:sz w:val="18"/>
                <w:szCs w:val="18"/>
              </w:rPr>
            </w:pPr>
            <w:r>
              <w:rPr>
                <w:rFonts w:ascii="Verdana" w:hAnsi="Verdana"/>
                <w:color w:val="FFFFFF"/>
                <w:sz w:val="18"/>
                <w:szCs w:val="18"/>
              </w:rPr>
              <w:t>STD Class Number</w:t>
            </w:r>
          </w:p>
        </w:tc>
        <w:tc>
          <w:tcPr>
            <w:tcW w:w="2155" w:type="pct"/>
            <w:tcBorders>
              <w:top w:val="single" w:sz="4" w:space="0" w:color="auto"/>
              <w:left w:val="nil"/>
              <w:bottom w:val="single" w:sz="4" w:space="0" w:color="auto"/>
              <w:right w:val="single" w:sz="4" w:space="0" w:color="auto"/>
            </w:tcBorders>
            <w:shd w:val="clear" w:color="000000" w:fill="00A9CE"/>
            <w:vAlign w:val="center"/>
            <w:hideMark/>
          </w:tcPr>
          <w:p w14:paraId="5C8A4908" w14:textId="7EBA90F8" w:rsidR="00E57E27" w:rsidRDefault="00E57E27" w:rsidP="002C5697">
            <w:pPr>
              <w:spacing w:after="0" w:line="240" w:lineRule="auto"/>
              <w:jc w:val="center"/>
              <w:rPr>
                <w:rFonts w:ascii="Verdana" w:hAnsi="Verdana"/>
                <w:color w:val="FFFFFF"/>
                <w:sz w:val="18"/>
                <w:szCs w:val="18"/>
              </w:rPr>
            </w:pPr>
            <w:r>
              <w:rPr>
                <w:rFonts w:ascii="Verdana" w:hAnsi="Verdana"/>
                <w:color w:val="FFFFFF"/>
                <w:sz w:val="18"/>
                <w:szCs w:val="18"/>
              </w:rPr>
              <w:t>1</w:t>
            </w:r>
          </w:p>
        </w:tc>
      </w:tr>
      <w:tr w:rsidR="00E57E27" w14:paraId="54FEA70E" w14:textId="77777777" w:rsidTr="00E57E27">
        <w:trPr>
          <w:cantSplit/>
          <w:trHeight w:val="360"/>
        </w:trPr>
        <w:tc>
          <w:tcPr>
            <w:tcW w:w="2845" w:type="pct"/>
            <w:tcBorders>
              <w:top w:val="nil"/>
              <w:left w:val="single" w:sz="4" w:space="0" w:color="auto"/>
              <w:bottom w:val="single" w:sz="4" w:space="0" w:color="auto"/>
              <w:right w:val="single" w:sz="4" w:space="0" w:color="auto"/>
            </w:tcBorders>
            <w:shd w:val="clear" w:color="000000" w:fill="F0EFE3"/>
            <w:vAlign w:val="center"/>
            <w:hideMark/>
          </w:tcPr>
          <w:p w14:paraId="3D0BBFFD" w14:textId="77777777" w:rsidR="00E57E27" w:rsidRDefault="00E57E27" w:rsidP="002C5697">
            <w:pPr>
              <w:spacing w:after="0" w:line="240" w:lineRule="auto"/>
              <w:rPr>
                <w:rFonts w:ascii="Verdana" w:hAnsi="Verdana"/>
                <w:color w:val="000000"/>
                <w:sz w:val="20"/>
                <w:szCs w:val="20"/>
              </w:rPr>
            </w:pPr>
            <w:r>
              <w:rPr>
                <w:rFonts w:ascii="Verdana" w:hAnsi="Verdana"/>
                <w:color w:val="000000"/>
                <w:sz w:val="20"/>
                <w:szCs w:val="20"/>
              </w:rPr>
              <w:t>Hours per Week</w:t>
            </w:r>
          </w:p>
        </w:tc>
        <w:tc>
          <w:tcPr>
            <w:tcW w:w="2155" w:type="pct"/>
            <w:tcBorders>
              <w:top w:val="nil"/>
              <w:left w:val="nil"/>
              <w:bottom w:val="single" w:sz="4" w:space="0" w:color="auto"/>
              <w:right w:val="single" w:sz="4" w:space="0" w:color="auto"/>
            </w:tcBorders>
            <w:shd w:val="clear" w:color="000000" w:fill="F0EFE3"/>
            <w:vAlign w:val="center"/>
            <w:hideMark/>
          </w:tcPr>
          <w:p w14:paraId="1E94FEC6" w14:textId="77777777" w:rsidR="00E57E27" w:rsidRDefault="00E57E27" w:rsidP="002C5697">
            <w:pPr>
              <w:spacing w:after="0" w:line="240" w:lineRule="auto"/>
              <w:jc w:val="center"/>
              <w:rPr>
                <w:rFonts w:ascii="Verdana" w:hAnsi="Verdana"/>
                <w:color w:val="000000"/>
                <w:sz w:val="20"/>
                <w:szCs w:val="20"/>
              </w:rPr>
            </w:pPr>
            <w:r>
              <w:rPr>
                <w:rFonts w:ascii="Verdana" w:hAnsi="Verdana"/>
                <w:color w:val="000000"/>
                <w:sz w:val="20"/>
                <w:szCs w:val="20"/>
              </w:rPr>
              <w:t>30.0</w:t>
            </w:r>
          </w:p>
        </w:tc>
      </w:tr>
      <w:tr w:rsidR="00E57E27" w14:paraId="2B98B2E0" w14:textId="77777777" w:rsidTr="00E57E27">
        <w:trPr>
          <w:cantSplit/>
          <w:trHeight w:val="765"/>
        </w:trPr>
        <w:tc>
          <w:tcPr>
            <w:tcW w:w="2845" w:type="pct"/>
            <w:tcBorders>
              <w:top w:val="nil"/>
              <w:left w:val="single" w:sz="4" w:space="0" w:color="auto"/>
              <w:bottom w:val="single" w:sz="4" w:space="0" w:color="auto"/>
              <w:right w:val="single" w:sz="4" w:space="0" w:color="auto"/>
            </w:tcBorders>
            <w:shd w:val="clear" w:color="000000" w:fill="F0EFE3"/>
            <w:vAlign w:val="center"/>
            <w:hideMark/>
          </w:tcPr>
          <w:p w14:paraId="485B959C" w14:textId="77777777" w:rsidR="00E57E27" w:rsidRDefault="00E57E27" w:rsidP="002C5697">
            <w:pPr>
              <w:spacing w:after="0" w:line="240" w:lineRule="auto"/>
              <w:rPr>
                <w:rFonts w:ascii="Verdana" w:hAnsi="Verdana"/>
                <w:color w:val="000000"/>
                <w:sz w:val="20"/>
                <w:szCs w:val="20"/>
              </w:rPr>
            </w:pPr>
            <w:r>
              <w:rPr>
                <w:rFonts w:ascii="Verdana" w:hAnsi="Verdana"/>
                <w:color w:val="000000"/>
                <w:sz w:val="20"/>
                <w:szCs w:val="20"/>
              </w:rPr>
              <w:t>Waiting Period</w:t>
            </w:r>
          </w:p>
        </w:tc>
        <w:tc>
          <w:tcPr>
            <w:tcW w:w="2155" w:type="pct"/>
            <w:tcBorders>
              <w:top w:val="nil"/>
              <w:left w:val="nil"/>
              <w:bottom w:val="single" w:sz="4" w:space="0" w:color="auto"/>
              <w:right w:val="single" w:sz="4" w:space="0" w:color="auto"/>
            </w:tcBorders>
            <w:shd w:val="clear" w:color="000000" w:fill="F0EFE3"/>
            <w:vAlign w:val="center"/>
            <w:hideMark/>
          </w:tcPr>
          <w:p w14:paraId="6DA69B17" w14:textId="77777777" w:rsidR="00E57E27" w:rsidRDefault="00E57E27" w:rsidP="002C5697">
            <w:pPr>
              <w:spacing w:after="0" w:line="240" w:lineRule="auto"/>
              <w:jc w:val="center"/>
              <w:rPr>
                <w:rFonts w:ascii="Verdana" w:hAnsi="Verdana"/>
                <w:color w:val="000000"/>
                <w:sz w:val="20"/>
                <w:szCs w:val="20"/>
              </w:rPr>
            </w:pPr>
            <w:r>
              <w:rPr>
                <w:rFonts w:ascii="Verdana" w:hAnsi="Verdana"/>
                <w:color w:val="000000"/>
                <w:sz w:val="20"/>
                <w:szCs w:val="20"/>
              </w:rPr>
              <w:t>1st of Month Following 30 Days Active Employment</w:t>
            </w:r>
          </w:p>
        </w:tc>
      </w:tr>
      <w:tr w:rsidR="00E57E27" w14:paraId="7F724952" w14:textId="77777777" w:rsidTr="00E57E27">
        <w:trPr>
          <w:cantSplit/>
          <w:trHeight w:val="360"/>
        </w:trPr>
        <w:tc>
          <w:tcPr>
            <w:tcW w:w="2845" w:type="pct"/>
            <w:tcBorders>
              <w:top w:val="nil"/>
              <w:left w:val="single" w:sz="4" w:space="0" w:color="auto"/>
              <w:bottom w:val="single" w:sz="4" w:space="0" w:color="auto"/>
              <w:right w:val="single" w:sz="4" w:space="0" w:color="auto"/>
            </w:tcBorders>
            <w:shd w:val="clear" w:color="000000" w:fill="F0EFE3"/>
            <w:vAlign w:val="center"/>
            <w:hideMark/>
          </w:tcPr>
          <w:p w14:paraId="1C12F60C" w14:textId="77777777" w:rsidR="00E57E27" w:rsidRDefault="00E57E27" w:rsidP="002C5697">
            <w:pPr>
              <w:spacing w:after="0" w:line="240" w:lineRule="auto"/>
              <w:rPr>
                <w:rFonts w:ascii="Verdana" w:hAnsi="Verdana"/>
                <w:color w:val="000000"/>
                <w:sz w:val="20"/>
                <w:szCs w:val="20"/>
              </w:rPr>
            </w:pPr>
            <w:r>
              <w:rPr>
                <w:rFonts w:ascii="Verdana" w:hAnsi="Verdana"/>
                <w:color w:val="000000"/>
                <w:sz w:val="20"/>
                <w:szCs w:val="20"/>
              </w:rPr>
              <w:t>Benefit Type</w:t>
            </w:r>
          </w:p>
        </w:tc>
        <w:tc>
          <w:tcPr>
            <w:tcW w:w="2155" w:type="pct"/>
            <w:tcBorders>
              <w:top w:val="nil"/>
              <w:left w:val="nil"/>
              <w:bottom w:val="single" w:sz="4" w:space="0" w:color="auto"/>
              <w:right w:val="single" w:sz="4" w:space="0" w:color="auto"/>
            </w:tcBorders>
            <w:shd w:val="clear" w:color="000000" w:fill="F0EFE3"/>
            <w:vAlign w:val="center"/>
            <w:hideMark/>
          </w:tcPr>
          <w:p w14:paraId="2C16BD8B" w14:textId="77777777" w:rsidR="00E57E27" w:rsidRDefault="00E57E27" w:rsidP="002C5697">
            <w:pPr>
              <w:spacing w:after="0" w:line="240" w:lineRule="auto"/>
              <w:jc w:val="center"/>
              <w:rPr>
                <w:rFonts w:ascii="Verdana" w:hAnsi="Verdana"/>
                <w:color w:val="000000"/>
                <w:sz w:val="20"/>
                <w:szCs w:val="20"/>
              </w:rPr>
            </w:pPr>
            <w:r>
              <w:rPr>
                <w:rFonts w:ascii="Verdana" w:hAnsi="Verdana"/>
                <w:color w:val="000000"/>
                <w:sz w:val="20"/>
                <w:szCs w:val="20"/>
              </w:rPr>
              <w:t>Traditional</w:t>
            </w:r>
          </w:p>
        </w:tc>
      </w:tr>
      <w:tr w:rsidR="00E57E27" w14:paraId="6A5A4DCC" w14:textId="77777777" w:rsidTr="00E57E27">
        <w:trPr>
          <w:cantSplit/>
          <w:trHeight w:val="360"/>
        </w:trPr>
        <w:tc>
          <w:tcPr>
            <w:tcW w:w="2845" w:type="pct"/>
            <w:tcBorders>
              <w:top w:val="nil"/>
              <w:left w:val="single" w:sz="4" w:space="0" w:color="auto"/>
              <w:bottom w:val="single" w:sz="4" w:space="0" w:color="auto"/>
              <w:right w:val="single" w:sz="4" w:space="0" w:color="auto"/>
            </w:tcBorders>
            <w:shd w:val="clear" w:color="000000" w:fill="F0EFE3"/>
            <w:vAlign w:val="center"/>
            <w:hideMark/>
          </w:tcPr>
          <w:p w14:paraId="5E73C819" w14:textId="77777777" w:rsidR="00E57E27" w:rsidRDefault="00E57E27" w:rsidP="002C5697">
            <w:pPr>
              <w:spacing w:after="0" w:line="240" w:lineRule="auto"/>
              <w:rPr>
                <w:rFonts w:ascii="Verdana" w:hAnsi="Verdana"/>
                <w:color w:val="000000"/>
                <w:sz w:val="20"/>
                <w:szCs w:val="20"/>
              </w:rPr>
            </w:pPr>
            <w:r>
              <w:rPr>
                <w:rFonts w:ascii="Verdana" w:hAnsi="Verdana"/>
                <w:color w:val="000000"/>
                <w:sz w:val="20"/>
                <w:szCs w:val="20"/>
              </w:rPr>
              <w:t>Benefit Amount</w:t>
            </w:r>
          </w:p>
        </w:tc>
        <w:tc>
          <w:tcPr>
            <w:tcW w:w="2155" w:type="pct"/>
            <w:tcBorders>
              <w:top w:val="nil"/>
              <w:left w:val="nil"/>
              <w:bottom w:val="single" w:sz="4" w:space="0" w:color="auto"/>
              <w:right w:val="single" w:sz="4" w:space="0" w:color="auto"/>
            </w:tcBorders>
            <w:shd w:val="clear" w:color="000000" w:fill="F0EFE3"/>
            <w:vAlign w:val="center"/>
            <w:hideMark/>
          </w:tcPr>
          <w:p w14:paraId="42CA6A3C" w14:textId="77777777" w:rsidR="00E57E27" w:rsidRDefault="00E57E27" w:rsidP="002C5697">
            <w:pPr>
              <w:spacing w:after="0" w:line="240" w:lineRule="auto"/>
              <w:jc w:val="center"/>
              <w:rPr>
                <w:rFonts w:ascii="Verdana" w:hAnsi="Verdana"/>
                <w:color w:val="000000"/>
                <w:sz w:val="20"/>
                <w:szCs w:val="20"/>
              </w:rPr>
            </w:pPr>
            <w:r>
              <w:rPr>
                <w:rFonts w:ascii="Verdana" w:hAnsi="Verdana"/>
                <w:color w:val="000000"/>
                <w:sz w:val="20"/>
                <w:szCs w:val="20"/>
              </w:rPr>
              <w:t>60.00%</w:t>
            </w:r>
          </w:p>
        </w:tc>
      </w:tr>
      <w:tr w:rsidR="00E57E27" w14:paraId="04C3257A" w14:textId="77777777" w:rsidTr="00E57E27">
        <w:trPr>
          <w:cantSplit/>
          <w:trHeight w:val="360"/>
        </w:trPr>
        <w:tc>
          <w:tcPr>
            <w:tcW w:w="2845" w:type="pct"/>
            <w:tcBorders>
              <w:top w:val="nil"/>
              <w:left w:val="single" w:sz="4" w:space="0" w:color="auto"/>
              <w:bottom w:val="single" w:sz="4" w:space="0" w:color="auto"/>
              <w:right w:val="single" w:sz="4" w:space="0" w:color="auto"/>
            </w:tcBorders>
            <w:shd w:val="clear" w:color="000000" w:fill="F0EFE3"/>
            <w:vAlign w:val="center"/>
            <w:hideMark/>
          </w:tcPr>
          <w:p w14:paraId="25676852" w14:textId="77777777" w:rsidR="00E57E27" w:rsidRDefault="00E57E27" w:rsidP="002C5697">
            <w:pPr>
              <w:spacing w:after="0" w:line="240" w:lineRule="auto"/>
              <w:rPr>
                <w:rFonts w:ascii="Verdana" w:hAnsi="Verdana"/>
                <w:color w:val="000000"/>
                <w:sz w:val="20"/>
                <w:szCs w:val="20"/>
              </w:rPr>
            </w:pPr>
            <w:r>
              <w:rPr>
                <w:rFonts w:ascii="Verdana" w:hAnsi="Verdana"/>
                <w:color w:val="000000"/>
                <w:sz w:val="20"/>
                <w:szCs w:val="20"/>
              </w:rPr>
              <w:t>Maximum Weekly Benefit</w:t>
            </w:r>
          </w:p>
        </w:tc>
        <w:tc>
          <w:tcPr>
            <w:tcW w:w="2155" w:type="pct"/>
            <w:tcBorders>
              <w:top w:val="nil"/>
              <w:left w:val="nil"/>
              <w:bottom w:val="single" w:sz="4" w:space="0" w:color="auto"/>
              <w:right w:val="single" w:sz="4" w:space="0" w:color="auto"/>
            </w:tcBorders>
            <w:shd w:val="clear" w:color="000000" w:fill="F0EFE3"/>
            <w:vAlign w:val="center"/>
            <w:hideMark/>
          </w:tcPr>
          <w:p w14:paraId="7C37D3BE" w14:textId="77777777" w:rsidR="00E57E27" w:rsidRDefault="00E57E27" w:rsidP="002C5697">
            <w:pPr>
              <w:spacing w:after="0" w:line="240" w:lineRule="auto"/>
              <w:jc w:val="center"/>
              <w:rPr>
                <w:rFonts w:ascii="Verdana" w:hAnsi="Verdana"/>
                <w:color w:val="000000"/>
                <w:sz w:val="20"/>
                <w:szCs w:val="20"/>
              </w:rPr>
            </w:pPr>
            <w:r>
              <w:rPr>
                <w:rFonts w:ascii="Verdana" w:hAnsi="Verdana"/>
                <w:color w:val="000000"/>
                <w:sz w:val="20"/>
                <w:szCs w:val="20"/>
              </w:rPr>
              <w:t xml:space="preserve">$1,000 </w:t>
            </w:r>
          </w:p>
        </w:tc>
      </w:tr>
      <w:tr w:rsidR="00E57E27" w14:paraId="6D202828" w14:textId="77777777" w:rsidTr="00E57E27">
        <w:trPr>
          <w:cantSplit/>
          <w:trHeight w:val="360"/>
        </w:trPr>
        <w:tc>
          <w:tcPr>
            <w:tcW w:w="2845" w:type="pct"/>
            <w:tcBorders>
              <w:top w:val="nil"/>
              <w:left w:val="single" w:sz="4" w:space="0" w:color="auto"/>
              <w:bottom w:val="single" w:sz="4" w:space="0" w:color="auto"/>
              <w:right w:val="single" w:sz="4" w:space="0" w:color="auto"/>
            </w:tcBorders>
            <w:shd w:val="clear" w:color="000000" w:fill="F0EFE3"/>
            <w:vAlign w:val="center"/>
            <w:hideMark/>
          </w:tcPr>
          <w:p w14:paraId="4D8159C4" w14:textId="77777777" w:rsidR="00E57E27" w:rsidRDefault="00E57E27" w:rsidP="002C5697">
            <w:pPr>
              <w:spacing w:after="0" w:line="240" w:lineRule="auto"/>
              <w:rPr>
                <w:rFonts w:ascii="Verdana" w:hAnsi="Verdana"/>
                <w:color w:val="000000"/>
                <w:sz w:val="20"/>
                <w:szCs w:val="20"/>
              </w:rPr>
            </w:pPr>
            <w:r>
              <w:rPr>
                <w:rFonts w:ascii="Verdana" w:hAnsi="Verdana"/>
                <w:color w:val="000000"/>
                <w:sz w:val="20"/>
                <w:szCs w:val="20"/>
              </w:rPr>
              <w:t>Minimum Weekly Benefit</w:t>
            </w:r>
          </w:p>
        </w:tc>
        <w:tc>
          <w:tcPr>
            <w:tcW w:w="2155" w:type="pct"/>
            <w:tcBorders>
              <w:top w:val="nil"/>
              <w:left w:val="nil"/>
              <w:bottom w:val="single" w:sz="4" w:space="0" w:color="auto"/>
              <w:right w:val="single" w:sz="4" w:space="0" w:color="auto"/>
            </w:tcBorders>
            <w:shd w:val="clear" w:color="000000" w:fill="F0EFE3"/>
            <w:vAlign w:val="center"/>
            <w:hideMark/>
          </w:tcPr>
          <w:p w14:paraId="7C1C84D0" w14:textId="77777777" w:rsidR="00E57E27" w:rsidRDefault="00E57E27" w:rsidP="002C5697">
            <w:pPr>
              <w:spacing w:after="0" w:line="240" w:lineRule="auto"/>
              <w:jc w:val="center"/>
              <w:rPr>
                <w:rFonts w:ascii="Verdana" w:hAnsi="Verdana"/>
                <w:color w:val="000000"/>
                <w:sz w:val="20"/>
                <w:szCs w:val="20"/>
              </w:rPr>
            </w:pPr>
            <w:r>
              <w:rPr>
                <w:rFonts w:ascii="Verdana" w:hAnsi="Verdana"/>
                <w:color w:val="000000"/>
                <w:sz w:val="20"/>
                <w:szCs w:val="20"/>
              </w:rPr>
              <w:t xml:space="preserve">$25 </w:t>
            </w:r>
          </w:p>
        </w:tc>
      </w:tr>
      <w:tr w:rsidR="00E57E27" w14:paraId="36C70D23" w14:textId="77777777" w:rsidTr="00E57E27">
        <w:trPr>
          <w:cantSplit/>
          <w:trHeight w:val="360"/>
        </w:trPr>
        <w:tc>
          <w:tcPr>
            <w:tcW w:w="2845" w:type="pct"/>
            <w:tcBorders>
              <w:top w:val="nil"/>
              <w:left w:val="single" w:sz="4" w:space="0" w:color="auto"/>
              <w:bottom w:val="single" w:sz="4" w:space="0" w:color="auto"/>
              <w:right w:val="single" w:sz="4" w:space="0" w:color="auto"/>
            </w:tcBorders>
            <w:shd w:val="clear" w:color="000000" w:fill="F0EFE3"/>
            <w:vAlign w:val="center"/>
            <w:hideMark/>
          </w:tcPr>
          <w:p w14:paraId="05B16578" w14:textId="77777777" w:rsidR="00E57E27" w:rsidRDefault="00E57E27" w:rsidP="002C5697">
            <w:pPr>
              <w:spacing w:after="0" w:line="240" w:lineRule="auto"/>
              <w:rPr>
                <w:rFonts w:ascii="Verdana" w:hAnsi="Verdana"/>
                <w:color w:val="000000"/>
                <w:sz w:val="20"/>
                <w:szCs w:val="20"/>
              </w:rPr>
            </w:pPr>
            <w:r>
              <w:rPr>
                <w:rFonts w:ascii="Verdana" w:hAnsi="Verdana"/>
                <w:color w:val="000000"/>
                <w:sz w:val="20"/>
                <w:szCs w:val="20"/>
              </w:rPr>
              <w:t>Accident Elimination Period</w:t>
            </w:r>
          </w:p>
        </w:tc>
        <w:tc>
          <w:tcPr>
            <w:tcW w:w="2155" w:type="pct"/>
            <w:tcBorders>
              <w:top w:val="nil"/>
              <w:left w:val="nil"/>
              <w:bottom w:val="single" w:sz="4" w:space="0" w:color="auto"/>
              <w:right w:val="single" w:sz="4" w:space="0" w:color="auto"/>
            </w:tcBorders>
            <w:shd w:val="clear" w:color="000000" w:fill="F0EFE3"/>
            <w:vAlign w:val="center"/>
            <w:hideMark/>
          </w:tcPr>
          <w:p w14:paraId="4ED75AE6" w14:textId="77777777" w:rsidR="00E57E27" w:rsidRDefault="00E57E27" w:rsidP="002C5697">
            <w:pPr>
              <w:spacing w:after="0" w:line="240" w:lineRule="auto"/>
              <w:jc w:val="center"/>
              <w:rPr>
                <w:rFonts w:ascii="Verdana" w:hAnsi="Verdana"/>
                <w:color w:val="000000"/>
                <w:sz w:val="20"/>
                <w:szCs w:val="20"/>
              </w:rPr>
            </w:pPr>
            <w:r>
              <w:rPr>
                <w:rFonts w:ascii="Verdana" w:hAnsi="Verdana"/>
                <w:color w:val="000000"/>
                <w:sz w:val="20"/>
                <w:szCs w:val="20"/>
              </w:rPr>
              <w:t>14 Days</w:t>
            </w:r>
          </w:p>
        </w:tc>
      </w:tr>
      <w:tr w:rsidR="00E57E27" w14:paraId="58950425" w14:textId="77777777" w:rsidTr="00E57E27">
        <w:trPr>
          <w:cantSplit/>
          <w:trHeight w:val="360"/>
        </w:trPr>
        <w:tc>
          <w:tcPr>
            <w:tcW w:w="2845" w:type="pct"/>
            <w:tcBorders>
              <w:top w:val="nil"/>
              <w:left w:val="single" w:sz="4" w:space="0" w:color="auto"/>
              <w:bottom w:val="single" w:sz="4" w:space="0" w:color="auto"/>
              <w:right w:val="single" w:sz="4" w:space="0" w:color="auto"/>
            </w:tcBorders>
            <w:shd w:val="clear" w:color="000000" w:fill="F0EFE3"/>
            <w:vAlign w:val="center"/>
            <w:hideMark/>
          </w:tcPr>
          <w:p w14:paraId="0D4FC605" w14:textId="77777777" w:rsidR="00E57E27" w:rsidRDefault="00E57E27" w:rsidP="002C5697">
            <w:pPr>
              <w:spacing w:after="0" w:line="240" w:lineRule="auto"/>
              <w:rPr>
                <w:rFonts w:ascii="Verdana" w:hAnsi="Verdana"/>
                <w:color w:val="000000"/>
                <w:sz w:val="20"/>
                <w:szCs w:val="20"/>
              </w:rPr>
            </w:pPr>
            <w:r>
              <w:rPr>
                <w:rFonts w:ascii="Verdana" w:hAnsi="Verdana"/>
                <w:color w:val="000000"/>
                <w:sz w:val="20"/>
                <w:szCs w:val="20"/>
              </w:rPr>
              <w:t>Sickness Elimination Period</w:t>
            </w:r>
          </w:p>
        </w:tc>
        <w:tc>
          <w:tcPr>
            <w:tcW w:w="2155" w:type="pct"/>
            <w:tcBorders>
              <w:top w:val="nil"/>
              <w:left w:val="nil"/>
              <w:bottom w:val="single" w:sz="4" w:space="0" w:color="auto"/>
              <w:right w:val="single" w:sz="4" w:space="0" w:color="auto"/>
            </w:tcBorders>
            <w:shd w:val="clear" w:color="000000" w:fill="F0EFE3"/>
            <w:vAlign w:val="center"/>
            <w:hideMark/>
          </w:tcPr>
          <w:p w14:paraId="7FCC3833" w14:textId="77777777" w:rsidR="00E57E27" w:rsidRDefault="00E57E27" w:rsidP="002C5697">
            <w:pPr>
              <w:spacing w:after="0" w:line="240" w:lineRule="auto"/>
              <w:jc w:val="center"/>
              <w:rPr>
                <w:rFonts w:ascii="Verdana" w:hAnsi="Verdana"/>
                <w:color w:val="000000"/>
                <w:sz w:val="20"/>
                <w:szCs w:val="20"/>
              </w:rPr>
            </w:pPr>
            <w:r>
              <w:rPr>
                <w:rFonts w:ascii="Verdana" w:hAnsi="Verdana"/>
                <w:color w:val="000000"/>
                <w:sz w:val="20"/>
                <w:szCs w:val="20"/>
              </w:rPr>
              <w:t>14 Days</w:t>
            </w:r>
          </w:p>
        </w:tc>
      </w:tr>
      <w:tr w:rsidR="00E57E27" w14:paraId="7751CA4D" w14:textId="77777777" w:rsidTr="00E57E27">
        <w:trPr>
          <w:cantSplit/>
          <w:trHeight w:val="360"/>
        </w:trPr>
        <w:tc>
          <w:tcPr>
            <w:tcW w:w="2845" w:type="pct"/>
            <w:tcBorders>
              <w:top w:val="nil"/>
              <w:left w:val="single" w:sz="4" w:space="0" w:color="auto"/>
              <w:bottom w:val="single" w:sz="4" w:space="0" w:color="auto"/>
              <w:right w:val="single" w:sz="4" w:space="0" w:color="auto"/>
            </w:tcBorders>
            <w:shd w:val="clear" w:color="000000" w:fill="F0EFE3"/>
            <w:vAlign w:val="center"/>
            <w:hideMark/>
          </w:tcPr>
          <w:p w14:paraId="67CCF6F3" w14:textId="77777777" w:rsidR="00E57E27" w:rsidRDefault="00E57E27" w:rsidP="002C5697">
            <w:pPr>
              <w:spacing w:after="0" w:line="240" w:lineRule="auto"/>
              <w:rPr>
                <w:rFonts w:ascii="Verdana" w:hAnsi="Verdana"/>
                <w:color w:val="000000"/>
                <w:sz w:val="20"/>
                <w:szCs w:val="20"/>
              </w:rPr>
            </w:pPr>
            <w:r>
              <w:rPr>
                <w:rFonts w:ascii="Verdana" w:hAnsi="Verdana"/>
                <w:color w:val="000000"/>
                <w:sz w:val="20"/>
                <w:szCs w:val="20"/>
              </w:rPr>
              <w:t>Duration (Weeks)</w:t>
            </w:r>
          </w:p>
        </w:tc>
        <w:tc>
          <w:tcPr>
            <w:tcW w:w="2155" w:type="pct"/>
            <w:tcBorders>
              <w:top w:val="nil"/>
              <w:left w:val="nil"/>
              <w:bottom w:val="single" w:sz="4" w:space="0" w:color="auto"/>
              <w:right w:val="single" w:sz="4" w:space="0" w:color="auto"/>
            </w:tcBorders>
            <w:shd w:val="clear" w:color="000000" w:fill="F0EFE3"/>
            <w:vAlign w:val="center"/>
            <w:hideMark/>
          </w:tcPr>
          <w:p w14:paraId="2BB91B1C" w14:textId="77777777" w:rsidR="00E57E27" w:rsidRDefault="00E57E27" w:rsidP="002C5697">
            <w:pPr>
              <w:spacing w:after="0" w:line="240" w:lineRule="auto"/>
              <w:jc w:val="center"/>
              <w:rPr>
                <w:rFonts w:ascii="Verdana" w:hAnsi="Verdana"/>
                <w:color w:val="000000"/>
                <w:sz w:val="20"/>
                <w:szCs w:val="20"/>
              </w:rPr>
            </w:pPr>
            <w:r>
              <w:rPr>
                <w:rFonts w:ascii="Verdana" w:hAnsi="Verdana"/>
                <w:color w:val="000000"/>
                <w:sz w:val="20"/>
                <w:szCs w:val="20"/>
              </w:rPr>
              <w:t>24</w:t>
            </w:r>
          </w:p>
        </w:tc>
      </w:tr>
      <w:tr w:rsidR="00E57E27" w14:paraId="4B511FC0" w14:textId="77777777" w:rsidTr="00E57E27">
        <w:trPr>
          <w:cantSplit/>
          <w:trHeight w:val="360"/>
        </w:trPr>
        <w:tc>
          <w:tcPr>
            <w:tcW w:w="2845" w:type="pct"/>
            <w:tcBorders>
              <w:top w:val="nil"/>
              <w:left w:val="single" w:sz="4" w:space="0" w:color="auto"/>
              <w:bottom w:val="single" w:sz="4" w:space="0" w:color="auto"/>
              <w:right w:val="single" w:sz="4" w:space="0" w:color="auto"/>
            </w:tcBorders>
            <w:shd w:val="clear" w:color="000000" w:fill="F0EFE3"/>
            <w:vAlign w:val="center"/>
            <w:hideMark/>
          </w:tcPr>
          <w:p w14:paraId="17CAD09B" w14:textId="77777777" w:rsidR="00E57E27" w:rsidRDefault="00E57E27" w:rsidP="002C5697">
            <w:pPr>
              <w:spacing w:after="0" w:line="240" w:lineRule="auto"/>
              <w:rPr>
                <w:rFonts w:ascii="Verdana" w:hAnsi="Verdana"/>
                <w:color w:val="000000"/>
                <w:sz w:val="20"/>
                <w:szCs w:val="20"/>
              </w:rPr>
            </w:pPr>
            <w:r>
              <w:rPr>
                <w:rFonts w:ascii="Verdana" w:hAnsi="Verdana"/>
                <w:color w:val="000000"/>
                <w:sz w:val="20"/>
                <w:szCs w:val="20"/>
              </w:rPr>
              <w:t>1st Day Hospital</w:t>
            </w:r>
          </w:p>
        </w:tc>
        <w:tc>
          <w:tcPr>
            <w:tcW w:w="2155" w:type="pct"/>
            <w:tcBorders>
              <w:top w:val="nil"/>
              <w:left w:val="nil"/>
              <w:bottom w:val="single" w:sz="4" w:space="0" w:color="auto"/>
              <w:right w:val="single" w:sz="4" w:space="0" w:color="auto"/>
            </w:tcBorders>
            <w:shd w:val="clear" w:color="000000" w:fill="F0EFE3"/>
            <w:vAlign w:val="center"/>
            <w:hideMark/>
          </w:tcPr>
          <w:p w14:paraId="65E2DD4F" w14:textId="77777777" w:rsidR="00E57E27" w:rsidRDefault="00E57E27" w:rsidP="002C5697">
            <w:pPr>
              <w:spacing w:after="0" w:line="240" w:lineRule="auto"/>
              <w:jc w:val="center"/>
              <w:rPr>
                <w:rFonts w:ascii="Verdana" w:hAnsi="Verdana"/>
                <w:color w:val="000000"/>
                <w:sz w:val="20"/>
                <w:szCs w:val="20"/>
              </w:rPr>
            </w:pPr>
            <w:r>
              <w:rPr>
                <w:rFonts w:ascii="Verdana" w:hAnsi="Verdana"/>
                <w:color w:val="000000"/>
                <w:sz w:val="20"/>
                <w:szCs w:val="20"/>
              </w:rPr>
              <w:t>Not Included</w:t>
            </w:r>
          </w:p>
        </w:tc>
      </w:tr>
      <w:tr w:rsidR="00E57E27" w14:paraId="4C83B38D" w14:textId="77777777" w:rsidTr="00E57E27">
        <w:trPr>
          <w:cantSplit/>
          <w:trHeight w:val="360"/>
        </w:trPr>
        <w:tc>
          <w:tcPr>
            <w:tcW w:w="2845" w:type="pct"/>
            <w:tcBorders>
              <w:top w:val="nil"/>
              <w:left w:val="single" w:sz="4" w:space="0" w:color="auto"/>
              <w:bottom w:val="single" w:sz="4" w:space="0" w:color="auto"/>
              <w:right w:val="single" w:sz="4" w:space="0" w:color="auto"/>
            </w:tcBorders>
            <w:shd w:val="clear" w:color="000000" w:fill="F0EFE3"/>
            <w:vAlign w:val="center"/>
            <w:hideMark/>
          </w:tcPr>
          <w:p w14:paraId="023BF2DA" w14:textId="77777777" w:rsidR="00E57E27" w:rsidRDefault="00E57E27" w:rsidP="002C5697">
            <w:pPr>
              <w:spacing w:after="0" w:line="240" w:lineRule="auto"/>
              <w:rPr>
                <w:rFonts w:ascii="Verdana" w:hAnsi="Verdana"/>
                <w:color w:val="000000"/>
                <w:sz w:val="20"/>
                <w:szCs w:val="20"/>
              </w:rPr>
            </w:pPr>
            <w:r>
              <w:rPr>
                <w:rFonts w:ascii="Verdana" w:hAnsi="Verdana"/>
                <w:color w:val="000000"/>
                <w:sz w:val="20"/>
                <w:szCs w:val="20"/>
              </w:rPr>
              <w:t>Pregnancy</w:t>
            </w:r>
          </w:p>
        </w:tc>
        <w:tc>
          <w:tcPr>
            <w:tcW w:w="2155" w:type="pct"/>
            <w:tcBorders>
              <w:top w:val="nil"/>
              <w:left w:val="nil"/>
              <w:bottom w:val="single" w:sz="4" w:space="0" w:color="auto"/>
              <w:right w:val="single" w:sz="4" w:space="0" w:color="auto"/>
            </w:tcBorders>
            <w:shd w:val="clear" w:color="000000" w:fill="F0EFE3"/>
            <w:vAlign w:val="center"/>
            <w:hideMark/>
          </w:tcPr>
          <w:p w14:paraId="487BB2B5" w14:textId="77777777" w:rsidR="00E57E27" w:rsidRDefault="00E57E27" w:rsidP="002C5697">
            <w:pPr>
              <w:spacing w:after="0" w:line="240" w:lineRule="auto"/>
              <w:jc w:val="center"/>
              <w:rPr>
                <w:rFonts w:ascii="Verdana" w:hAnsi="Verdana"/>
                <w:color w:val="000000"/>
                <w:sz w:val="20"/>
                <w:szCs w:val="20"/>
              </w:rPr>
            </w:pPr>
            <w:r>
              <w:rPr>
                <w:rFonts w:ascii="Verdana" w:hAnsi="Verdana"/>
                <w:color w:val="000000"/>
                <w:sz w:val="20"/>
                <w:szCs w:val="20"/>
              </w:rPr>
              <w:t>Full</w:t>
            </w:r>
          </w:p>
        </w:tc>
      </w:tr>
      <w:tr w:rsidR="00E57E27" w14:paraId="1177F722" w14:textId="77777777" w:rsidTr="00E57E27">
        <w:trPr>
          <w:cantSplit/>
          <w:trHeight w:val="360"/>
        </w:trPr>
        <w:tc>
          <w:tcPr>
            <w:tcW w:w="2845" w:type="pct"/>
            <w:tcBorders>
              <w:top w:val="nil"/>
              <w:left w:val="single" w:sz="4" w:space="0" w:color="auto"/>
              <w:bottom w:val="single" w:sz="4" w:space="0" w:color="auto"/>
              <w:right w:val="single" w:sz="4" w:space="0" w:color="auto"/>
            </w:tcBorders>
            <w:shd w:val="clear" w:color="000000" w:fill="F0EFE3"/>
            <w:vAlign w:val="center"/>
            <w:hideMark/>
          </w:tcPr>
          <w:p w14:paraId="738C1457" w14:textId="77777777" w:rsidR="00E57E27" w:rsidRDefault="00E57E27" w:rsidP="002C5697">
            <w:pPr>
              <w:spacing w:after="0" w:line="240" w:lineRule="auto"/>
              <w:rPr>
                <w:rFonts w:ascii="Verdana" w:hAnsi="Verdana"/>
                <w:color w:val="000000"/>
                <w:sz w:val="20"/>
                <w:szCs w:val="20"/>
              </w:rPr>
            </w:pPr>
            <w:r>
              <w:rPr>
                <w:rFonts w:ascii="Verdana" w:hAnsi="Verdana"/>
                <w:color w:val="000000"/>
                <w:sz w:val="20"/>
                <w:szCs w:val="20"/>
              </w:rPr>
              <w:t>Definition of Disability</w:t>
            </w:r>
          </w:p>
        </w:tc>
        <w:tc>
          <w:tcPr>
            <w:tcW w:w="2155" w:type="pct"/>
            <w:tcBorders>
              <w:top w:val="nil"/>
              <w:left w:val="nil"/>
              <w:bottom w:val="single" w:sz="4" w:space="0" w:color="auto"/>
              <w:right w:val="single" w:sz="4" w:space="0" w:color="auto"/>
            </w:tcBorders>
            <w:shd w:val="clear" w:color="000000" w:fill="F0EFE3"/>
            <w:vAlign w:val="center"/>
            <w:hideMark/>
          </w:tcPr>
          <w:p w14:paraId="6154E8E8" w14:textId="77777777" w:rsidR="00E57E27" w:rsidRDefault="00E57E27" w:rsidP="002C5697">
            <w:pPr>
              <w:spacing w:after="0" w:line="240" w:lineRule="auto"/>
              <w:jc w:val="center"/>
              <w:rPr>
                <w:rFonts w:ascii="Verdana" w:hAnsi="Verdana"/>
                <w:color w:val="000000"/>
                <w:sz w:val="20"/>
                <w:szCs w:val="20"/>
              </w:rPr>
            </w:pPr>
            <w:r>
              <w:rPr>
                <w:rFonts w:ascii="Verdana" w:hAnsi="Verdana"/>
                <w:color w:val="000000"/>
                <w:sz w:val="20"/>
                <w:szCs w:val="20"/>
              </w:rPr>
              <w:t>Residual</w:t>
            </w:r>
          </w:p>
        </w:tc>
      </w:tr>
      <w:tr w:rsidR="00E57E27" w14:paraId="3CCC9FC5" w14:textId="77777777" w:rsidTr="00E57E27">
        <w:trPr>
          <w:cantSplit/>
          <w:trHeight w:val="360"/>
        </w:trPr>
        <w:tc>
          <w:tcPr>
            <w:tcW w:w="2845" w:type="pct"/>
            <w:tcBorders>
              <w:top w:val="nil"/>
              <w:left w:val="single" w:sz="4" w:space="0" w:color="auto"/>
              <w:bottom w:val="single" w:sz="4" w:space="0" w:color="auto"/>
              <w:right w:val="single" w:sz="4" w:space="0" w:color="auto"/>
            </w:tcBorders>
            <w:shd w:val="clear" w:color="000000" w:fill="F0EFE3"/>
            <w:vAlign w:val="center"/>
            <w:hideMark/>
          </w:tcPr>
          <w:p w14:paraId="42508794" w14:textId="77777777" w:rsidR="00E57E27" w:rsidRDefault="00E57E27" w:rsidP="002C5697">
            <w:pPr>
              <w:spacing w:after="0" w:line="240" w:lineRule="auto"/>
              <w:rPr>
                <w:rFonts w:ascii="Verdana" w:hAnsi="Verdana"/>
                <w:color w:val="000000"/>
                <w:sz w:val="20"/>
                <w:szCs w:val="20"/>
              </w:rPr>
            </w:pPr>
            <w:r>
              <w:rPr>
                <w:rFonts w:ascii="Verdana" w:hAnsi="Verdana"/>
                <w:color w:val="000000"/>
                <w:sz w:val="20"/>
                <w:szCs w:val="20"/>
              </w:rPr>
              <w:t>Pre-Existing Condition</w:t>
            </w:r>
          </w:p>
        </w:tc>
        <w:tc>
          <w:tcPr>
            <w:tcW w:w="2155" w:type="pct"/>
            <w:tcBorders>
              <w:top w:val="nil"/>
              <w:left w:val="nil"/>
              <w:bottom w:val="single" w:sz="4" w:space="0" w:color="auto"/>
              <w:right w:val="single" w:sz="4" w:space="0" w:color="auto"/>
            </w:tcBorders>
            <w:shd w:val="clear" w:color="000000" w:fill="F0EFE3"/>
            <w:vAlign w:val="center"/>
            <w:hideMark/>
          </w:tcPr>
          <w:p w14:paraId="6585103B" w14:textId="77777777" w:rsidR="00E57E27" w:rsidRDefault="00E57E27" w:rsidP="002C5697">
            <w:pPr>
              <w:spacing w:after="0" w:line="240" w:lineRule="auto"/>
              <w:jc w:val="center"/>
              <w:rPr>
                <w:rFonts w:ascii="Verdana" w:hAnsi="Verdana"/>
                <w:color w:val="000000"/>
                <w:sz w:val="20"/>
                <w:szCs w:val="20"/>
              </w:rPr>
            </w:pPr>
            <w:r>
              <w:rPr>
                <w:rFonts w:ascii="Verdana" w:hAnsi="Verdana"/>
                <w:color w:val="000000"/>
                <w:sz w:val="20"/>
                <w:szCs w:val="20"/>
              </w:rPr>
              <w:t>3/12 Exclusion</w:t>
            </w:r>
          </w:p>
        </w:tc>
      </w:tr>
      <w:tr w:rsidR="00E57E27" w14:paraId="4D08E30E" w14:textId="77777777" w:rsidTr="00E57E27">
        <w:trPr>
          <w:cantSplit/>
          <w:trHeight w:val="360"/>
        </w:trPr>
        <w:tc>
          <w:tcPr>
            <w:tcW w:w="2845" w:type="pct"/>
            <w:tcBorders>
              <w:top w:val="nil"/>
              <w:left w:val="single" w:sz="4" w:space="0" w:color="auto"/>
              <w:bottom w:val="single" w:sz="4" w:space="0" w:color="auto"/>
              <w:right w:val="single" w:sz="4" w:space="0" w:color="auto"/>
            </w:tcBorders>
            <w:shd w:val="clear" w:color="000000" w:fill="F0EFE3"/>
            <w:vAlign w:val="center"/>
            <w:hideMark/>
          </w:tcPr>
          <w:p w14:paraId="13C769BC" w14:textId="77777777" w:rsidR="00E57E27" w:rsidRDefault="00E57E27" w:rsidP="002C5697">
            <w:pPr>
              <w:spacing w:after="0" w:line="240" w:lineRule="auto"/>
              <w:rPr>
                <w:rFonts w:ascii="Verdana" w:hAnsi="Verdana"/>
                <w:color w:val="000000"/>
                <w:sz w:val="20"/>
                <w:szCs w:val="20"/>
              </w:rPr>
            </w:pPr>
            <w:r>
              <w:rPr>
                <w:rFonts w:ascii="Verdana" w:hAnsi="Verdana"/>
                <w:color w:val="000000"/>
                <w:sz w:val="20"/>
                <w:szCs w:val="20"/>
              </w:rPr>
              <w:t>Occupational Coverage</w:t>
            </w:r>
          </w:p>
        </w:tc>
        <w:tc>
          <w:tcPr>
            <w:tcW w:w="2155" w:type="pct"/>
            <w:tcBorders>
              <w:top w:val="nil"/>
              <w:left w:val="nil"/>
              <w:bottom w:val="single" w:sz="4" w:space="0" w:color="auto"/>
              <w:right w:val="single" w:sz="4" w:space="0" w:color="auto"/>
            </w:tcBorders>
            <w:shd w:val="clear" w:color="000000" w:fill="F0EFE3"/>
            <w:vAlign w:val="center"/>
            <w:hideMark/>
          </w:tcPr>
          <w:p w14:paraId="218A2DB9" w14:textId="77777777" w:rsidR="00E57E27" w:rsidRDefault="00E57E27" w:rsidP="002C5697">
            <w:pPr>
              <w:spacing w:after="0" w:line="240" w:lineRule="auto"/>
              <w:jc w:val="center"/>
              <w:rPr>
                <w:rFonts w:ascii="Verdana" w:hAnsi="Verdana"/>
                <w:color w:val="000000"/>
                <w:sz w:val="20"/>
                <w:szCs w:val="20"/>
              </w:rPr>
            </w:pPr>
            <w:r>
              <w:rPr>
                <w:rFonts w:ascii="Verdana" w:hAnsi="Verdana"/>
                <w:color w:val="000000"/>
                <w:sz w:val="20"/>
                <w:szCs w:val="20"/>
              </w:rPr>
              <w:t>Not Included</w:t>
            </w:r>
          </w:p>
        </w:tc>
      </w:tr>
      <w:tr w:rsidR="00E57E27" w14:paraId="27B0E438" w14:textId="77777777" w:rsidTr="00E57E27">
        <w:trPr>
          <w:cantSplit/>
          <w:trHeight w:val="360"/>
        </w:trPr>
        <w:tc>
          <w:tcPr>
            <w:tcW w:w="2845" w:type="pct"/>
            <w:tcBorders>
              <w:top w:val="nil"/>
              <w:left w:val="single" w:sz="4" w:space="0" w:color="auto"/>
              <w:bottom w:val="single" w:sz="4" w:space="0" w:color="auto"/>
              <w:right w:val="single" w:sz="4" w:space="0" w:color="auto"/>
            </w:tcBorders>
            <w:shd w:val="clear" w:color="000000" w:fill="F0EFE3"/>
            <w:vAlign w:val="center"/>
            <w:hideMark/>
          </w:tcPr>
          <w:p w14:paraId="68FB698C" w14:textId="77777777" w:rsidR="00E57E27" w:rsidRDefault="00E57E27" w:rsidP="002C5697">
            <w:pPr>
              <w:spacing w:after="0" w:line="240" w:lineRule="auto"/>
              <w:rPr>
                <w:rFonts w:ascii="Verdana" w:hAnsi="Verdana"/>
                <w:color w:val="000000"/>
                <w:sz w:val="20"/>
                <w:szCs w:val="20"/>
              </w:rPr>
            </w:pPr>
            <w:r>
              <w:rPr>
                <w:rFonts w:ascii="Verdana" w:hAnsi="Verdana"/>
                <w:color w:val="000000"/>
                <w:sz w:val="20"/>
                <w:szCs w:val="20"/>
              </w:rPr>
              <w:t>Recurrent Disability</w:t>
            </w:r>
          </w:p>
        </w:tc>
        <w:tc>
          <w:tcPr>
            <w:tcW w:w="2155" w:type="pct"/>
            <w:tcBorders>
              <w:top w:val="nil"/>
              <w:left w:val="nil"/>
              <w:bottom w:val="single" w:sz="4" w:space="0" w:color="auto"/>
              <w:right w:val="single" w:sz="4" w:space="0" w:color="auto"/>
            </w:tcBorders>
            <w:shd w:val="clear" w:color="000000" w:fill="F0EFE3"/>
            <w:vAlign w:val="center"/>
            <w:hideMark/>
          </w:tcPr>
          <w:p w14:paraId="61E19F80" w14:textId="77777777" w:rsidR="00E57E27" w:rsidRDefault="00E57E27" w:rsidP="002C5697">
            <w:pPr>
              <w:spacing w:after="0" w:line="240" w:lineRule="auto"/>
              <w:jc w:val="center"/>
              <w:rPr>
                <w:rFonts w:ascii="Verdana" w:hAnsi="Verdana"/>
                <w:color w:val="000000"/>
                <w:sz w:val="20"/>
                <w:szCs w:val="20"/>
              </w:rPr>
            </w:pPr>
            <w:r>
              <w:rPr>
                <w:rFonts w:ascii="Verdana" w:hAnsi="Verdana"/>
                <w:color w:val="000000"/>
                <w:sz w:val="20"/>
                <w:szCs w:val="20"/>
              </w:rPr>
              <w:t>14 Days</w:t>
            </w:r>
          </w:p>
        </w:tc>
      </w:tr>
      <w:tr w:rsidR="00E57E27" w14:paraId="0071A03C" w14:textId="77777777" w:rsidTr="00E57E27">
        <w:trPr>
          <w:cantSplit/>
          <w:trHeight w:val="360"/>
        </w:trPr>
        <w:tc>
          <w:tcPr>
            <w:tcW w:w="2845" w:type="pct"/>
            <w:tcBorders>
              <w:top w:val="nil"/>
              <w:left w:val="single" w:sz="4" w:space="0" w:color="auto"/>
              <w:bottom w:val="single" w:sz="4" w:space="0" w:color="auto"/>
              <w:right w:val="single" w:sz="4" w:space="0" w:color="auto"/>
            </w:tcBorders>
            <w:shd w:val="clear" w:color="000000" w:fill="F0EFE3"/>
            <w:vAlign w:val="center"/>
            <w:hideMark/>
          </w:tcPr>
          <w:p w14:paraId="482FEF57" w14:textId="77777777" w:rsidR="00E57E27" w:rsidRDefault="00E57E27" w:rsidP="002C5697">
            <w:pPr>
              <w:spacing w:after="0" w:line="240" w:lineRule="auto"/>
              <w:rPr>
                <w:rFonts w:ascii="Verdana" w:hAnsi="Verdana"/>
                <w:color w:val="000000"/>
                <w:sz w:val="20"/>
                <w:szCs w:val="20"/>
              </w:rPr>
            </w:pPr>
            <w:r>
              <w:rPr>
                <w:rFonts w:ascii="Verdana" w:hAnsi="Verdana"/>
                <w:color w:val="000000"/>
                <w:sz w:val="20"/>
                <w:szCs w:val="20"/>
              </w:rPr>
              <w:t>Work Incentive Benefit (WIB)</w:t>
            </w:r>
          </w:p>
        </w:tc>
        <w:tc>
          <w:tcPr>
            <w:tcW w:w="2155" w:type="pct"/>
            <w:tcBorders>
              <w:top w:val="nil"/>
              <w:left w:val="nil"/>
              <w:bottom w:val="single" w:sz="4" w:space="0" w:color="auto"/>
              <w:right w:val="single" w:sz="4" w:space="0" w:color="auto"/>
            </w:tcBorders>
            <w:shd w:val="clear" w:color="000000" w:fill="F0EFE3"/>
            <w:vAlign w:val="center"/>
            <w:hideMark/>
          </w:tcPr>
          <w:p w14:paraId="2F2A2F9F" w14:textId="77777777" w:rsidR="00E57E27" w:rsidRDefault="00E57E27" w:rsidP="002C5697">
            <w:pPr>
              <w:spacing w:after="0" w:line="240" w:lineRule="auto"/>
              <w:jc w:val="center"/>
              <w:rPr>
                <w:rFonts w:ascii="Verdana" w:hAnsi="Verdana"/>
                <w:color w:val="000000"/>
                <w:sz w:val="20"/>
                <w:szCs w:val="20"/>
              </w:rPr>
            </w:pPr>
            <w:r>
              <w:rPr>
                <w:rFonts w:ascii="Verdana" w:hAnsi="Verdana"/>
                <w:color w:val="000000"/>
                <w:sz w:val="20"/>
                <w:szCs w:val="20"/>
              </w:rPr>
              <w:t>Not Included</w:t>
            </w:r>
          </w:p>
        </w:tc>
      </w:tr>
      <w:tr w:rsidR="00E57E27" w14:paraId="643E4F21" w14:textId="77777777" w:rsidTr="00E57E27">
        <w:trPr>
          <w:cantSplit/>
          <w:trHeight w:val="360"/>
        </w:trPr>
        <w:tc>
          <w:tcPr>
            <w:tcW w:w="2845" w:type="pct"/>
            <w:tcBorders>
              <w:top w:val="nil"/>
              <w:left w:val="single" w:sz="4" w:space="0" w:color="auto"/>
              <w:bottom w:val="single" w:sz="4" w:space="0" w:color="auto"/>
              <w:right w:val="single" w:sz="4" w:space="0" w:color="auto"/>
            </w:tcBorders>
            <w:shd w:val="clear" w:color="000000" w:fill="F0EFE3"/>
            <w:vAlign w:val="center"/>
            <w:hideMark/>
          </w:tcPr>
          <w:p w14:paraId="221CDD7D" w14:textId="77777777" w:rsidR="00E57E27" w:rsidRDefault="00E57E27" w:rsidP="002C5697">
            <w:pPr>
              <w:spacing w:after="0" w:line="240" w:lineRule="auto"/>
              <w:rPr>
                <w:rFonts w:ascii="Verdana" w:hAnsi="Verdana"/>
                <w:color w:val="000000"/>
                <w:sz w:val="20"/>
                <w:szCs w:val="20"/>
              </w:rPr>
            </w:pPr>
            <w:r>
              <w:rPr>
                <w:rFonts w:ascii="Verdana" w:hAnsi="Verdana"/>
                <w:color w:val="000000"/>
                <w:sz w:val="20"/>
                <w:szCs w:val="20"/>
              </w:rPr>
              <w:t>Survivor Benefit</w:t>
            </w:r>
          </w:p>
        </w:tc>
        <w:tc>
          <w:tcPr>
            <w:tcW w:w="2155" w:type="pct"/>
            <w:tcBorders>
              <w:top w:val="nil"/>
              <w:left w:val="nil"/>
              <w:bottom w:val="single" w:sz="4" w:space="0" w:color="auto"/>
              <w:right w:val="single" w:sz="4" w:space="0" w:color="auto"/>
            </w:tcBorders>
            <w:shd w:val="clear" w:color="000000" w:fill="F0EFE3"/>
            <w:vAlign w:val="center"/>
            <w:hideMark/>
          </w:tcPr>
          <w:p w14:paraId="1D050284" w14:textId="77777777" w:rsidR="00E57E27" w:rsidRDefault="00E57E27" w:rsidP="002C5697">
            <w:pPr>
              <w:spacing w:after="0" w:line="240" w:lineRule="auto"/>
              <w:jc w:val="center"/>
              <w:rPr>
                <w:rFonts w:ascii="Verdana" w:hAnsi="Verdana"/>
                <w:color w:val="000000"/>
                <w:sz w:val="20"/>
                <w:szCs w:val="20"/>
              </w:rPr>
            </w:pPr>
            <w:r>
              <w:rPr>
                <w:rFonts w:ascii="Verdana" w:hAnsi="Verdana"/>
                <w:color w:val="000000"/>
                <w:sz w:val="20"/>
                <w:szCs w:val="20"/>
              </w:rPr>
              <w:t>Not Included</w:t>
            </w:r>
          </w:p>
        </w:tc>
      </w:tr>
      <w:tr w:rsidR="00E57E27" w14:paraId="14DDBF12" w14:textId="77777777" w:rsidTr="00E57E27">
        <w:trPr>
          <w:cantSplit/>
          <w:trHeight w:val="360"/>
        </w:trPr>
        <w:tc>
          <w:tcPr>
            <w:tcW w:w="2845" w:type="pct"/>
            <w:tcBorders>
              <w:top w:val="nil"/>
              <w:left w:val="single" w:sz="4" w:space="0" w:color="auto"/>
              <w:bottom w:val="single" w:sz="4" w:space="0" w:color="auto"/>
              <w:right w:val="single" w:sz="4" w:space="0" w:color="auto"/>
            </w:tcBorders>
            <w:shd w:val="clear" w:color="000000" w:fill="F0EFE3"/>
            <w:vAlign w:val="center"/>
            <w:hideMark/>
          </w:tcPr>
          <w:p w14:paraId="456E8246" w14:textId="77777777" w:rsidR="00E57E27" w:rsidRDefault="00E57E27" w:rsidP="002C5697">
            <w:pPr>
              <w:spacing w:after="0" w:line="240" w:lineRule="auto"/>
              <w:rPr>
                <w:rFonts w:ascii="Verdana" w:hAnsi="Verdana"/>
                <w:color w:val="000000"/>
                <w:sz w:val="20"/>
                <w:szCs w:val="20"/>
              </w:rPr>
            </w:pPr>
            <w:r>
              <w:rPr>
                <w:rFonts w:ascii="Verdana" w:hAnsi="Verdana"/>
                <w:color w:val="000000"/>
                <w:sz w:val="20"/>
                <w:szCs w:val="20"/>
              </w:rPr>
              <w:t>Portability</w:t>
            </w:r>
          </w:p>
        </w:tc>
        <w:tc>
          <w:tcPr>
            <w:tcW w:w="2155" w:type="pct"/>
            <w:tcBorders>
              <w:top w:val="nil"/>
              <w:left w:val="nil"/>
              <w:bottom w:val="single" w:sz="4" w:space="0" w:color="auto"/>
              <w:right w:val="single" w:sz="4" w:space="0" w:color="auto"/>
            </w:tcBorders>
            <w:shd w:val="clear" w:color="000000" w:fill="F0EFE3"/>
            <w:vAlign w:val="center"/>
            <w:hideMark/>
          </w:tcPr>
          <w:p w14:paraId="020BAC4D" w14:textId="77777777" w:rsidR="00E57E27" w:rsidRDefault="00E57E27" w:rsidP="002C5697">
            <w:pPr>
              <w:spacing w:after="0" w:line="240" w:lineRule="auto"/>
              <w:jc w:val="center"/>
              <w:rPr>
                <w:rFonts w:ascii="Verdana" w:hAnsi="Verdana"/>
                <w:color w:val="000000"/>
                <w:sz w:val="20"/>
                <w:szCs w:val="20"/>
              </w:rPr>
            </w:pPr>
            <w:r>
              <w:rPr>
                <w:rFonts w:ascii="Verdana" w:hAnsi="Verdana"/>
                <w:color w:val="000000"/>
                <w:sz w:val="20"/>
                <w:szCs w:val="20"/>
              </w:rPr>
              <w:t>Not Included</w:t>
            </w:r>
          </w:p>
        </w:tc>
      </w:tr>
      <w:tr w:rsidR="00E57E27" w14:paraId="3E660FB1" w14:textId="77777777" w:rsidTr="00E57E27">
        <w:trPr>
          <w:cantSplit/>
          <w:trHeight w:val="510"/>
        </w:trPr>
        <w:tc>
          <w:tcPr>
            <w:tcW w:w="2845" w:type="pct"/>
            <w:tcBorders>
              <w:top w:val="nil"/>
              <w:left w:val="single" w:sz="4" w:space="0" w:color="auto"/>
              <w:bottom w:val="single" w:sz="4" w:space="0" w:color="auto"/>
              <w:right w:val="single" w:sz="4" w:space="0" w:color="auto"/>
            </w:tcBorders>
            <w:shd w:val="clear" w:color="000000" w:fill="F0EFE3"/>
            <w:vAlign w:val="center"/>
            <w:hideMark/>
          </w:tcPr>
          <w:p w14:paraId="19F7D8C1" w14:textId="77777777" w:rsidR="00E57E27" w:rsidRDefault="00E57E27" w:rsidP="002C5697">
            <w:pPr>
              <w:spacing w:after="0" w:line="240" w:lineRule="auto"/>
              <w:rPr>
                <w:rFonts w:ascii="Verdana" w:hAnsi="Verdana"/>
                <w:color w:val="000000"/>
                <w:sz w:val="20"/>
                <w:szCs w:val="20"/>
              </w:rPr>
            </w:pPr>
            <w:r>
              <w:rPr>
                <w:rFonts w:ascii="Verdana" w:hAnsi="Verdana"/>
                <w:color w:val="000000"/>
                <w:sz w:val="20"/>
                <w:szCs w:val="20"/>
              </w:rPr>
              <w:t>EE Contribution</w:t>
            </w:r>
          </w:p>
        </w:tc>
        <w:tc>
          <w:tcPr>
            <w:tcW w:w="2155" w:type="pct"/>
            <w:tcBorders>
              <w:top w:val="nil"/>
              <w:left w:val="nil"/>
              <w:bottom w:val="single" w:sz="4" w:space="0" w:color="auto"/>
              <w:right w:val="single" w:sz="4" w:space="0" w:color="auto"/>
            </w:tcBorders>
            <w:shd w:val="clear" w:color="000000" w:fill="F0EFE3"/>
            <w:vAlign w:val="center"/>
            <w:hideMark/>
          </w:tcPr>
          <w:p w14:paraId="2FFAAA5A" w14:textId="77777777" w:rsidR="00E57E27" w:rsidRDefault="00E57E27" w:rsidP="002C5697">
            <w:pPr>
              <w:spacing w:after="0" w:line="240" w:lineRule="auto"/>
              <w:jc w:val="center"/>
              <w:rPr>
                <w:rFonts w:ascii="Verdana" w:hAnsi="Verdana"/>
                <w:color w:val="000000"/>
                <w:sz w:val="20"/>
                <w:szCs w:val="20"/>
              </w:rPr>
            </w:pPr>
            <w:r>
              <w:rPr>
                <w:rFonts w:ascii="Verdana" w:hAnsi="Verdana"/>
                <w:color w:val="000000"/>
                <w:sz w:val="20"/>
                <w:szCs w:val="20"/>
              </w:rPr>
              <w:t>Employer Paid</w:t>
            </w:r>
          </w:p>
        </w:tc>
      </w:tr>
      <w:tr w:rsidR="00E57E27" w14:paraId="450D0FE0" w14:textId="77777777" w:rsidTr="00E57E27">
        <w:trPr>
          <w:cantSplit/>
          <w:trHeight w:val="360"/>
        </w:trPr>
        <w:tc>
          <w:tcPr>
            <w:tcW w:w="2845" w:type="pct"/>
            <w:tcBorders>
              <w:top w:val="nil"/>
              <w:left w:val="single" w:sz="4" w:space="0" w:color="auto"/>
              <w:bottom w:val="single" w:sz="4" w:space="0" w:color="auto"/>
              <w:right w:val="single" w:sz="4" w:space="0" w:color="auto"/>
            </w:tcBorders>
            <w:shd w:val="clear" w:color="000000" w:fill="F0EFE3"/>
            <w:vAlign w:val="center"/>
            <w:hideMark/>
          </w:tcPr>
          <w:p w14:paraId="6C74E0B3" w14:textId="77777777" w:rsidR="00E57E27" w:rsidRDefault="00E57E27" w:rsidP="002C5697">
            <w:pPr>
              <w:spacing w:after="0" w:line="240" w:lineRule="auto"/>
              <w:rPr>
                <w:rFonts w:ascii="Verdana" w:hAnsi="Verdana"/>
                <w:color w:val="000000"/>
                <w:sz w:val="20"/>
                <w:szCs w:val="20"/>
              </w:rPr>
            </w:pPr>
            <w:r>
              <w:rPr>
                <w:rFonts w:ascii="Verdana" w:hAnsi="Verdana"/>
                <w:color w:val="000000"/>
                <w:sz w:val="20"/>
                <w:szCs w:val="20"/>
              </w:rPr>
              <w:t>Tax Choice</w:t>
            </w:r>
          </w:p>
        </w:tc>
        <w:tc>
          <w:tcPr>
            <w:tcW w:w="2155" w:type="pct"/>
            <w:tcBorders>
              <w:top w:val="nil"/>
              <w:left w:val="nil"/>
              <w:bottom w:val="single" w:sz="4" w:space="0" w:color="auto"/>
              <w:right w:val="single" w:sz="4" w:space="0" w:color="auto"/>
            </w:tcBorders>
            <w:shd w:val="clear" w:color="000000" w:fill="F0EFE3"/>
            <w:vAlign w:val="center"/>
            <w:hideMark/>
          </w:tcPr>
          <w:p w14:paraId="7114C66C" w14:textId="77777777" w:rsidR="00E57E27" w:rsidRDefault="00E57E27" w:rsidP="002C5697">
            <w:pPr>
              <w:spacing w:after="0" w:line="240" w:lineRule="auto"/>
              <w:jc w:val="center"/>
              <w:rPr>
                <w:rFonts w:ascii="Verdana" w:hAnsi="Verdana"/>
                <w:color w:val="000000"/>
                <w:sz w:val="20"/>
                <w:szCs w:val="20"/>
              </w:rPr>
            </w:pPr>
            <w:r>
              <w:rPr>
                <w:rFonts w:ascii="Verdana" w:hAnsi="Verdana"/>
                <w:color w:val="000000"/>
                <w:sz w:val="20"/>
                <w:szCs w:val="20"/>
              </w:rPr>
              <w:t>Not Included</w:t>
            </w:r>
          </w:p>
        </w:tc>
      </w:tr>
    </w:tbl>
    <w:p w14:paraId="285801A0" w14:textId="4A398979" w:rsidR="00140101" w:rsidRPr="00283747" w:rsidRDefault="00140101" w:rsidP="00140101">
      <w:pPr>
        <w:spacing w:before="120" w:after="60" w:line="180" w:lineRule="exact"/>
        <w:rPr>
          <w:rFonts w:ascii="Verdana" w:eastAsia="Times New Roman" w:hAnsi="Verdana" w:cs="Times New Roman"/>
          <w:color w:val="000000" w:themeColor="text1"/>
          <w:sz w:val="18"/>
          <w:szCs w:val="18"/>
        </w:rPr>
      </w:pPr>
    </w:p>
    <w:p w14:paraId="53432FEA" w14:textId="77777777" w:rsidR="00140101" w:rsidRDefault="00140101" w:rsidP="00140101">
      <w:pPr>
        <w:spacing w:after="0" w:line="180" w:lineRule="exact"/>
        <w:rPr>
          <w:rFonts w:ascii="Verdana" w:eastAsia="Times New Roman" w:hAnsi="Verdana" w:cs="Times New Roman"/>
          <w:b/>
          <w:sz w:val="18"/>
          <w:szCs w:val="18"/>
        </w:rPr>
      </w:pPr>
      <w:bookmarkStart w:id="6" w:name="AddGridSTD"/>
      <w:bookmarkEnd w:id="6"/>
    </w:p>
    <w:tbl>
      <w:tblPr>
        <w:tblW w:w="6925" w:type="dxa"/>
        <w:tblInd w:w="-5" w:type="dxa"/>
        <w:tblLook w:val="04A0" w:firstRow="1" w:lastRow="0" w:firstColumn="1" w:lastColumn="0" w:noHBand="0" w:noVBand="1"/>
      </w:tblPr>
      <w:tblGrid>
        <w:gridCol w:w="3797"/>
        <w:gridCol w:w="3128"/>
      </w:tblGrid>
      <w:tr w:rsidR="00140101" w:rsidRPr="00EA72A0" w14:paraId="242B8F57" w14:textId="77777777" w:rsidTr="00140101">
        <w:trPr>
          <w:trHeight w:val="259"/>
          <w:tblHeader/>
        </w:trPr>
        <w:tc>
          <w:tcPr>
            <w:tcW w:w="6925" w:type="dxa"/>
            <w:gridSpan w:val="2"/>
            <w:tcBorders>
              <w:top w:val="single" w:sz="4" w:space="0" w:color="auto"/>
              <w:left w:val="single" w:sz="4" w:space="0" w:color="auto"/>
              <w:bottom w:val="single" w:sz="4" w:space="0" w:color="auto"/>
              <w:right w:val="single" w:sz="4" w:space="0" w:color="000000"/>
            </w:tcBorders>
            <w:shd w:val="clear" w:color="auto" w:fill="00A9CE"/>
            <w:noWrap/>
            <w:vAlign w:val="center"/>
            <w:hideMark/>
          </w:tcPr>
          <w:p w14:paraId="53920736" w14:textId="77777777" w:rsidR="00140101" w:rsidRPr="00D57608" w:rsidRDefault="00C733C4" w:rsidP="00F3266A">
            <w:pPr>
              <w:keepNext/>
              <w:spacing w:after="0" w:line="240" w:lineRule="auto"/>
              <w:jc w:val="center"/>
              <w:rPr>
                <w:rFonts w:ascii="Verdana" w:eastAsia="Times New Roman" w:hAnsi="Verdana" w:cs="Times New Roman"/>
                <w:color w:val="FFFFFF" w:themeColor="background1"/>
                <w:sz w:val="18"/>
                <w:szCs w:val="18"/>
              </w:rPr>
            </w:pPr>
            <w:bookmarkStart w:id="7" w:name="OptSTDAll" w:colFirst="0" w:colLast="1"/>
            <w:r>
              <w:rPr>
                <w:rFonts w:ascii="Verdana" w:eastAsia="Times New Roman" w:hAnsi="Verdana" w:cs="Times New Roman"/>
                <w:color w:val="FFFFFF" w:themeColor="background1"/>
                <w:sz w:val="18"/>
                <w:szCs w:val="18"/>
              </w:rPr>
              <w:t>S</w:t>
            </w:r>
            <w:r w:rsidR="00140101" w:rsidRPr="00D57608">
              <w:rPr>
                <w:rFonts w:ascii="Verdana" w:eastAsia="Times New Roman" w:hAnsi="Verdana" w:cs="Times New Roman"/>
                <w:color w:val="FFFFFF" w:themeColor="background1"/>
                <w:sz w:val="18"/>
                <w:szCs w:val="18"/>
              </w:rPr>
              <w:t>TD Optional Features</w:t>
            </w:r>
          </w:p>
        </w:tc>
      </w:tr>
      <w:tr w:rsidR="00140101" w:rsidRPr="00816D0B" w14:paraId="53D004FB" w14:textId="77777777" w:rsidTr="00140101">
        <w:trPr>
          <w:trHeight w:val="255"/>
        </w:trPr>
        <w:tc>
          <w:tcPr>
            <w:tcW w:w="3797" w:type="dxa"/>
            <w:tcBorders>
              <w:top w:val="single" w:sz="4" w:space="0" w:color="757171"/>
              <w:left w:val="single" w:sz="4" w:space="0" w:color="auto"/>
              <w:bottom w:val="single" w:sz="4" w:space="0" w:color="757171"/>
              <w:right w:val="single" w:sz="4" w:space="0" w:color="000000"/>
            </w:tcBorders>
            <w:shd w:val="clear" w:color="auto" w:fill="F0EFE3"/>
            <w:noWrap/>
            <w:vAlign w:val="center"/>
          </w:tcPr>
          <w:p w14:paraId="3626C596" w14:textId="77777777" w:rsidR="00140101" w:rsidRPr="00B078FF" w:rsidRDefault="00140101" w:rsidP="00F3266A">
            <w:pPr>
              <w:keepNext/>
              <w:spacing w:after="0" w:line="240" w:lineRule="auto"/>
              <w:rPr>
                <w:rFonts w:ascii="Verdana" w:eastAsia="Times New Roman" w:hAnsi="Verdana" w:cs="Times New Roman"/>
                <w:color w:val="000000"/>
                <w:sz w:val="18"/>
                <w:szCs w:val="18"/>
              </w:rPr>
            </w:pPr>
            <w:bookmarkStart w:id="8" w:name="OptSTDLayoff" w:colFirst="1" w:colLast="1"/>
            <w:r>
              <w:rPr>
                <w:rFonts w:ascii="Verdana" w:eastAsia="Times New Roman" w:hAnsi="Verdana" w:cs="Times New Roman"/>
                <w:color w:val="000000"/>
                <w:sz w:val="18"/>
                <w:szCs w:val="18"/>
              </w:rPr>
              <w:t>Continuation Layoff</w:t>
            </w:r>
          </w:p>
        </w:tc>
        <w:tc>
          <w:tcPr>
            <w:tcW w:w="3128" w:type="dxa"/>
            <w:tcBorders>
              <w:top w:val="single" w:sz="4" w:space="0" w:color="757171"/>
              <w:left w:val="nil"/>
              <w:bottom w:val="single" w:sz="4" w:space="0" w:color="757171"/>
              <w:right w:val="single" w:sz="4" w:space="0" w:color="auto"/>
            </w:tcBorders>
            <w:shd w:val="clear" w:color="auto" w:fill="FFFFFF" w:themeFill="background1"/>
            <w:noWrap/>
            <w:vAlign w:val="center"/>
          </w:tcPr>
          <w:p w14:paraId="0876E230" w14:textId="6B5B1B1E" w:rsidR="00140101" w:rsidRPr="00382343" w:rsidRDefault="002C5697" w:rsidP="00140101">
            <w:pPr>
              <w:spacing w:after="0" w:line="240" w:lineRule="auto"/>
              <w:jc w:val="center"/>
              <w:rPr>
                <w:rFonts w:ascii="Verdana" w:eastAsia="Times New Roman" w:hAnsi="Verdana" w:cs="Times New Roman"/>
                <w:sz w:val="18"/>
                <w:szCs w:val="18"/>
              </w:rPr>
            </w:pPr>
            <w:r>
              <w:rPr>
                <w:rFonts w:ascii="Verdana" w:eastAsia="Times New Roman" w:hAnsi="Verdana" w:cs="Times New Roman"/>
                <w:sz w:val="18"/>
                <w:szCs w:val="18"/>
              </w:rPr>
              <w:t>Unum Standard</w:t>
            </w:r>
          </w:p>
        </w:tc>
      </w:tr>
      <w:tr w:rsidR="00140101" w:rsidRPr="00816D0B" w14:paraId="166766BF" w14:textId="77777777" w:rsidTr="00140101">
        <w:trPr>
          <w:trHeight w:val="255"/>
        </w:trPr>
        <w:tc>
          <w:tcPr>
            <w:tcW w:w="3797" w:type="dxa"/>
            <w:tcBorders>
              <w:top w:val="single" w:sz="4" w:space="0" w:color="757171"/>
              <w:left w:val="single" w:sz="4" w:space="0" w:color="auto"/>
              <w:bottom w:val="single" w:sz="4" w:space="0" w:color="757171"/>
              <w:right w:val="single" w:sz="4" w:space="0" w:color="000000"/>
            </w:tcBorders>
            <w:shd w:val="clear" w:color="auto" w:fill="F0EFE3"/>
            <w:noWrap/>
            <w:vAlign w:val="center"/>
          </w:tcPr>
          <w:p w14:paraId="6E5BFE34" w14:textId="77777777" w:rsidR="00140101" w:rsidRPr="00B078FF" w:rsidRDefault="00140101" w:rsidP="00F3266A">
            <w:pPr>
              <w:keepNext/>
              <w:spacing w:after="0" w:line="240" w:lineRule="auto"/>
              <w:rPr>
                <w:rFonts w:ascii="Verdana" w:eastAsia="Times New Roman" w:hAnsi="Verdana" w:cs="Times New Roman"/>
                <w:color w:val="000000"/>
                <w:sz w:val="18"/>
                <w:szCs w:val="18"/>
              </w:rPr>
            </w:pPr>
            <w:bookmarkStart w:id="9" w:name="OptSTDLOA" w:colFirst="1" w:colLast="1"/>
            <w:bookmarkEnd w:id="8"/>
            <w:r>
              <w:rPr>
                <w:rFonts w:ascii="Verdana" w:eastAsia="Times New Roman" w:hAnsi="Verdana" w:cs="Times New Roman"/>
                <w:color w:val="000000"/>
                <w:sz w:val="18"/>
                <w:szCs w:val="18"/>
              </w:rPr>
              <w:t>Continuation Leave of Absence</w:t>
            </w:r>
          </w:p>
        </w:tc>
        <w:tc>
          <w:tcPr>
            <w:tcW w:w="3128" w:type="dxa"/>
            <w:tcBorders>
              <w:top w:val="single" w:sz="4" w:space="0" w:color="757171"/>
              <w:left w:val="nil"/>
              <w:bottom w:val="single" w:sz="4" w:space="0" w:color="757171"/>
              <w:right w:val="single" w:sz="4" w:space="0" w:color="auto"/>
            </w:tcBorders>
            <w:shd w:val="clear" w:color="auto" w:fill="FFFFFF" w:themeFill="background1"/>
            <w:noWrap/>
            <w:vAlign w:val="center"/>
          </w:tcPr>
          <w:p w14:paraId="5A33F5BE" w14:textId="212C4DCE" w:rsidR="00140101" w:rsidRPr="00382343" w:rsidRDefault="002C5697" w:rsidP="00140101">
            <w:pPr>
              <w:spacing w:after="0" w:line="240" w:lineRule="auto"/>
              <w:jc w:val="center"/>
              <w:rPr>
                <w:rFonts w:ascii="Verdana" w:eastAsia="Times New Roman" w:hAnsi="Verdana" w:cs="Times New Roman"/>
                <w:sz w:val="18"/>
                <w:szCs w:val="18"/>
              </w:rPr>
            </w:pPr>
            <w:r>
              <w:rPr>
                <w:rFonts w:ascii="Verdana" w:eastAsia="Times New Roman" w:hAnsi="Verdana" w:cs="Times New Roman"/>
                <w:sz w:val="18"/>
                <w:szCs w:val="18"/>
              </w:rPr>
              <w:t>Unum Standard</w:t>
            </w:r>
          </w:p>
        </w:tc>
      </w:tr>
      <w:tr w:rsidR="00140101" w:rsidRPr="00816D0B" w14:paraId="39FC7A04" w14:textId="77777777" w:rsidTr="00140101">
        <w:trPr>
          <w:trHeight w:val="255"/>
        </w:trPr>
        <w:tc>
          <w:tcPr>
            <w:tcW w:w="3797" w:type="dxa"/>
            <w:tcBorders>
              <w:top w:val="single" w:sz="4" w:space="0" w:color="757171"/>
              <w:left w:val="single" w:sz="4" w:space="0" w:color="auto"/>
              <w:bottom w:val="single" w:sz="4" w:space="0" w:color="757171"/>
              <w:right w:val="single" w:sz="4" w:space="0" w:color="000000"/>
            </w:tcBorders>
            <w:shd w:val="clear" w:color="auto" w:fill="F0EFE3"/>
            <w:noWrap/>
            <w:vAlign w:val="center"/>
            <w:hideMark/>
          </w:tcPr>
          <w:p w14:paraId="17DD765F" w14:textId="77777777" w:rsidR="00140101" w:rsidRPr="00B078FF" w:rsidRDefault="0052626D" w:rsidP="00F3266A">
            <w:pPr>
              <w:keepNext/>
              <w:spacing w:after="0" w:line="240" w:lineRule="auto"/>
              <w:rPr>
                <w:rFonts w:ascii="Verdana" w:eastAsia="Times New Roman" w:hAnsi="Verdana" w:cs="Times New Roman"/>
                <w:color w:val="000000"/>
                <w:sz w:val="18"/>
                <w:szCs w:val="18"/>
              </w:rPr>
            </w:pPr>
            <w:bookmarkStart w:id="10" w:name="OptSTDCSection" w:colFirst="1" w:colLast="1"/>
            <w:bookmarkEnd w:id="9"/>
            <w:r>
              <w:rPr>
                <w:rFonts w:ascii="Verdana" w:eastAsia="Times New Roman" w:hAnsi="Verdana" w:cs="Times New Roman"/>
                <w:color w:val="000000"/>
                <w:sz w:val="18"/>
                <w:szCs w:val="18"/>
              </w:rPr>
              <w:t>8 Week C-Section</w:t>
            </w:r>
          </w:p>
        </w:tc>
        <w:tc>
          <w:tcPr>
            <w:tcW w:w="3128" w:type="dxa"/>
            <w:tcBorders>
              <w:top w:val="single" w:sz="4" w:space="0" w:color="757171"/>
              <w:left w:val="single" w:sz="4" w:space="0" w:color="auto"/>
              <w:bottom w:val="single" w:sz="4" w:space="0" w:color="757171"/>
              <w:right w:val="single" w:sz="4" w:space="0" w:color="auto"/>
            </w:tcBorders>
            <w:shd w:val="clear" w:color="auto" w:fill="FFFFFF" w:themeFill="background1"/>
            <w:noWrap/>
            <w:vAlign w:val="center"/>
            <w:hideMark/>
          </w:tcPr>
          <w:p w14:paraId="2612CAD8" w14:textId="25964999" w:rsidR="00140101" w:rsidRPr="00382343" w:rsidRDefault="002C5697" w:rsidP="00140101">
            <w:pPr>
              <w:spacing w:after="0" w:line="240" w:lineRule="auto"/>
              <w:jc w:val="center"/>
              <w:rPr>
                <w:rFonts w:ascii="Verdana" w:eastAsia="Times New Roman" w:hAnsi="Verdana" w:cs="Times New Roman"/>
                <w:sz w:val="18"/>
                <w:szCs w:val="18"/>
              </w:rPr>
            </w:pPr>
            <w:r>
              <w:rPr>
                <w:rFonts w:ascii="Verdana" w:eastAsia="Times New Roman" w:hAnsi="Verdana" w:cs="Times New Roman"/>
                <w:sz w:val="18"/>
                <w:szCs w:val="18"/>
              </w:rPr>
              <w:t>Included</w:t>
            </w:r>
          </w:p>
        </w:tc>
      </w:tr>
      <w:bookmarkEnd w:id="7"/>
      <w:bookmarkEnd w:id="10"/>
    </w:tbl>
    <w:p w14:paraId="5948F3B1" w14:textId="77777777" w:rsidR="00140101" w:rsidRDefault="00140101" w:rsidP="00140101">
      <w:pPr>
        <w:rPr>
          <w:rFonts w:ascii="Verdana" w:eastAsia="Times New Roman" w:hAnsi="Verdana" w:cs="Times New Roman"/>
          <w:b/>
          <w:sz w:val="24"/>
          <w:szCs w:val="24"/>
        </w:rPr>
      </w:pPr>
      <w:r>
        <w:rPr>
          <w:rFonts w:ascii="Verdana" w:eastAsia="Times New Roman" w:hAnsi="Verdana" w:cs="Times New Roman"/>
          <w:b/>
          <w:sz w:val="24"/>
          <w:szCs w:val="24"/>
        </w:rPr>
        <w:br w:type="page"/>
      </w:r>
    </w:p>
    <w:p w14:paraId="5EB9A26B" w14:textId="77777777" w:rsidR="00140101" w:rsidRPr="00E12DE3" w:rsidRDefault="00140101" w:rsidP="00140101">
      <w:pPr>
        <w:widowControl w:val="0"/>
        <w:spacing w:after="0" w:line="240" w:lineRule="auto"/>
        <w:rPr>
          <w:rFonts w:ascii="Verdana" w:hAnsi="Verdana"/>
          <w:b/>
          <w:sz w:val="24"/>
          <w:szCs w:val="24"/>
        </w:rPr>
      </w:pPr>
      <w:r>
        <w:rPr>
          <w:rFonts w:ascii="Verdana" w:hAnsi="Verdana"/>
          <w:b/>
          <w:sz w:val="24"/>
          <w:szCs w:val="24"/>
        </w:rPr>
        <w:lastRenderedPageBreak/>
        <w:t>Rates and Cost Information</w:t>
      </w:r>
    </w:p>
    <w:p w14:paraId="1298C9E7" w14:textId="77777777" w:rsidR="00140101" w:rsidRDefault="0052626D" w:rsidP="00140101">
      <w:pPr>
        <w:spacing w:before="120" w:after="0"/>
        <w:rPr>
          <w:rFonts w:ascii="Verdana" w:eastAsia="Times New Roman" w:hAnsi="Verdana" w:cs="Times New Roman"/>
          <w:sz w:val="18"/>
          <w:szCs w:val="18"/>
        </w:rPr>
      </w:pPr>
      <w:r w:rsidRPr="0052626D">
        <w:rPr>
          <w:rFonts w:ascii="Verdana" w:eastAsia="Times New Roman" w:hAnsi="Verdana" w:cs="Times New Roman"/>
          <w:sz w:val="18"/>
          <w:szCs w:val="18"/>
        </w:rPr>
        <w:t>The Definition of Weekly Earnings included in the STD contract is the basis used for calculating STD benefits. It is very important for the employer to match the weekly earnings definition to their payroll programs to ensure that employees receive adequate income protection in the event of a disability.  Weekly earnings usually exclude bonuses, overtime and commissions earned by an employee.  If commissions are to be included in the definition, the amount is averaged over a specified time period, usually 12 or 24 months.  We have assumed the definition found in the Underwriting data received by Unum is correct – but we will work with the policyholder during the implementation of the plan.</w:t>
      </w:r>
    </w:p>
    <w:p w14:paraId="0A864D08" w14:textId="10461567" w:rsidR="00C26AA0" w:rsidRPr="00C26AA0" w:rsidRDefault="00C26AA0" w:rsidP="00300F4B">
      <w:pPr>
        <w:spacing w:before="120" w:after="0" w:line="180" w:lineRule="exact"/>
        <w:jc w:val="center"/>
        <w:rPr>
          <w:rFonts w:ascii="Arial" w:eastAsia="Times New Roman" w:hAnsi="Arial" w:cs="Arial"/>
          <w:i/>
          <w:iCs/>
          <w:sz w:val="18"/>
          <w:szCs w:val="18"/>
        </w:rPr>
      </w:pPr>
      <w:bookmarkStart w:id="11" w:name="WARatesSTD"/>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5"/>
      </w:tblGrid>
      <w:tr w:rsidR="00140101" w:rsidRPr="00BA314F" w14:paraId="5D103ED7" w14:textId="77777777" w:rsidTr="00140101">
        <w:tc>
          <w:tcPr>
            <w:tcW w:w="10885" w:type="dxa"/>
          </w:tcPr>
          <w:p w14:paraId="5D45E287" w14:textId="77777777" w:rsidR="00140101" w:rsidRPr="00BA314F" w:rsidRDefault="00140101" w:rsidP="00140101">
            <w:pPr>
              <w:keepNext/>
              <w:spacing w:before="120"/>
              <w:rPr>
                <w:rFonts w:ascii="Verdana" w:hAnsi="Verdana"/>
                <w:sz w:val="20"/>
                <w:szCs w:val="20"/>
              </w:rPr>
            </w:pPr>
            <w:bookmarkStart w:id="12" w:name="RateTableSTD"/>
            <w:bookmarkEnd w:id="11"/>
            <w:r w:rsidRPr="00BA314F">
              <w:rPr>
                <w:rFonts w:ascii="Verdana" w:hAnsi="Verdana"/>
                <w:b/>
                <w:bCs/>
                <w:sz w:val="20"/>
                <w:szCs w:val="20"/>
              </w:rPr>
              <w:t>Rates assume the following:</w:t>
            </w:r>
            <w:bookmarkEnd w:id="12"/>
          </w:p>
        </w:tc>
      </w:tr>
    </w:tbl>
    <w:p w14:paraId="5347AA3A" w14:textId="377D250B" w:rsidR="00140101" w:rsidRPr="00472E47" w:rsidRDefault="00816A1F" w:rsidP="00140101">
      <w:pPr>
        <w:tabs>
          <w:tab w:val="left" w:leader="dot" w:pos="2880"/>
        </w:tabs>
        <w:spacing w:before="120" w:after="0" w:line="240" w:lineRule="auto"/>
        <w:rPr>
          <w:rFonts w:ascii="Verdana" w:eastAsia="Times New Roman" w:hAnsi="Verdana" w:cs="Times New Roman"/>
          <w:sz w:val="18"/>
          <w:szCs w:val="18"/>
        </w:rPr>
      </w:pPr>
      <w:r>
        <w:rPr>
          <w:rFonts w:ascii="Verdana" w:eastAsia="Times New Roman" w:hAnsi="Verdana" w:cs="Times New Roman"/>
          <w:sz w:val="18"/>
          <w:szCs w:val="18"/>
        </w:rPr>
        <w:t>Rate Guarantee to</w:t>
      </w:r>
      <w:r w:rsidR="00140101" w:rsidRPr="00472E47">
        <w:rPr>
          <w:rFonts w:ascii="Verdana" w:eastAsia="Times New Roman" w:hAnsi="Verdana" w:cs="Times New Roman"/>
          <w:sz w:val="18"/>
          <w:szCs w:val="18"/>
        </w:rPr>
        <w:tab/>
      </w:r>
      <w:bookmarkStart w:id="13" w:name="OptSTDRG"/>
      <w:bookmarkEnd w:id="13"/>
      <w:r w:rsidR="002C5697">
        <w:rPr>
          <w:rFonts w:ascii="Verdana" w:eastAsia="Times New Roman" w:hAnsi="Verdana" w:cs="Times New Roman"/>
          <w:sz w:val="18"/>
          <w:szCs w:val="18"/>
        </w:rPr>
        <w:t>October 1, 2027</w:t>
      </w:r>
    </w:p>
    <w:p w14:paraId="3273871B" w14:textId="237C4887" w:rsidR="004B6805" w:rsidRDefault="004B6805" w:rsidP="00140101">
      <w:pPr>
        <w:tabs>
          <w:tab w:val="left" w:leader="dot" w:pos="2880"/>
        </w:tabs>
        <w:spacing w:before="60" w:after="0" w:line="240" w:lineRule="auto"/>
        <w:rPr>
          <w:rFonts w:ascii="Verdana" w:eastAsia="Times New Roman" w:hAnsi="Verdana" w:cs="Times New Roman"/>
          <w:sz w:val="18"/>
          <w:szCs w:val="18"/>
        </w:rPr>
      </w:pPr>
      <w:bookmarkStart w:id="14" w:name="OptSTDCom"/>
      <w:bookmarkStart w:id="15" w:name="_GoBack"/>
      <w:bookmarkEnd w:id="14"/>
      <w:bookmarkEnd w:id="15"/>
      <w:r>
        <w:rPr>
          <w:rFonts w:ascii="Verdana" w:eastAsia="Times New Roman" w:hAnsi="Verdana" w:cs="Times New Roman"/>
          <w:sz w:val="18"/>
          <w:szCs w:val="18"/>
        </w:rPr>
        <w:t>Grace Period</w:t>
      </w:r>
      <w:r>
        <w:rPr>
          <w:rFonts w:ascii="Verdana" w:eastAsia="Times New Roman" w:hAnsi="Verdana" w:cs="Times New Roman"/>
          <w:sz w:val="18"/>
          <w:szCs w:val="18"/>
        </w:rPr>
        <w:tab/>
      </w:r>
      <w:bookmarkStart w:id="16" w:name="OptSTDGrace"/>
      <w:bookmarkEnd w:id="16"/>
      <w:r w:rsidR="002C5697">
        <w:rPr>
          <w:rFonts w:ascii="Verdana" w:eastAsia="Times New Roman" w:hAnsi="Verdana" w:cs="Times New Roman"/>
          <w:sz w:val="18"/>
          <w:szCs w:val="18"/>
        </w:rPr>
        <w:t>31 Days</w:t>
      </w:r>
    </w:p>
    <w:p w14:paraId="1512F4C6" w14:textId="094B3C8C" w:rsidR="00140101" w:rsidRPr="00472E47" w:rsidRDefault="00140101" w:rsidP="00140101">
      <w:pPr>
        <w:tabs>
          <w:tab w:val="left" w:leader="dot" w:pos="2880"/>
        </w:tabs>
        <w:spacing w:before="60" w:after="0" w:line="240" w:lineRule="auto"/>
        <w:rPr>
          <w:rFonts w:ascii="Verdana" w:eastAsia="Times New Roman" w:hAnsi="Verdana" w:cs="Times New Roman"/>
          <w:sz w:val="18"/>
          <w:szCs w:val="18"/>
        </w:rPr>
      </w:pPr>
      <w:r w:rsidRPr="00472E47">
        <w:rPr>
          <w:rFonts w:ascii="Verdana" w:eastAsia="Times New Roman" w:hAnsi="Verdana" w:cs="Times New Roman"/>
          <w:sz w:val="18"/>
          <w:szCs w:val="18"/>
        </w:rPr>
        <w:t>Minimum Participation</w:t>
      </w:r>
      <w:r w:rsidRPr="00472E47">
        <w:rPr>
          <w:rFonts w:ascii="Verdana" w:eastAsia="Times New Roman" w:hAnsi="Verdana" w:cs="Times New Roman"/>
          <w:sz w:val="18"/>
          <w:szCs w:val="18"/>
        </w:rPr>
        <w:tab/>
      </w:r>
      <w:bookmarkStart w:id="17" w:name="OptSTDPart"/>
      <w:bookmarkEnd w:id="17"/>
      <w:r w:rsidR="002C5697">
        <w:rPr>
          <w:rFonts w:ascii="Verdana" w:eastAsia="Times New Roman" w:hAnsi="Verdana" w:cs="Times New Roman"/>
          <w:sz w:val="18"/>
          <w:szCs w:val="18"/>
        </w:rPr>
        <w:t>20%</w:t>
      </w:r>
    </w:p>
    <w:p w14:paraId="1344FADE" w14:textId="77777777" w:rsidR="00140101" w:rsidRPr="00472E47" w:rsidRDefault="00140101" w:rsidP="00140101">
      <w:pPr>
        <w:rPr>
          <w:rFonts w:ascii="Verdana" w:eastAsia="Times New Roman" w:hAnsi="Verdana" w:cs="Times New Roman"/>
          <w:bCs/>
          <w:sz w:val="18"/>
          <w:szCs w:val="18"/>
        </w:rPr>
      </w:pPr>
    </w:p>
    <w:p w14:paraId="46D514F2" w14:textId="77777777" w:rsidR="002C5697" w:rsidRPr="0038114F" w:rsidRDefault="002C5697" w:rsidP="002C5697">
      <w:pPr>
        <w:keepNext/>
        <w:spacing w:after="120" w:line="240" w:lineRule="auto"/>
        <w:rPr>
          <w:rFonts w:ascii="Verdana" w:eastAsia="Times New Roman" w:hAnsi="Verdana" w:cs="Times New Roman"/>
          <w:color w:val="000000" w:themeColor="text1"/>
          <w:sz w:val="18"/>
          <w:szCs w:val="18"/>
        </w:rPr>
      </w:pPr>
      <w:r w:rsidRPr="002C5697">
        <w:rPr>
          <w:rFonts w:ascii="Verdana" w:eastAsia="Times New Roman" w:hAnsi="Verdana" w:cs="Times New Roman"/>
          <w:b/>
          <w:color w:val="000000" w:themeColor="text1"/>
          <w:szCs w:val="18"/>
        </w:rPr>
        <w:t>Traditional Short Term Disability</w:t>
      </w:r>
    </w:p>
    <w:tbl>
      <w:tblPr>
        <w:tblW w:w="5000" w:type="pct"/>
        <w:tblLook w:val="04A0" w:firstRow="1" w:lastRow="0" w:firstColumn="1" w:lastColumn="0" w:noHBand="0" w:noVBand="1"/>
      </w:tblPr>
      <w:tblGrid>
        <w:gridCol w:w="2071"/>
        <w:gridCol w:w="2287"/>
        <w:gridCol w:w="807"/>
        <w:gridCol w:w="1817"/>
        <w:gridCol w:w="1372"/>
        <w:gridCol w:w="2436"/>
      </w:tblGrid>
      <w:tr w:rsidR="002C5697" w14:paraId="2D5E8AE8" w14:textId="77777777" w:rsidTr="002C5697">
        <w:trPr>
          <w:trHeight w:val="675"/>
        </w:trPr>
        <w:tc>
          <w:tcPr>
            <w:tcW w:w="959" w:type="pct"/>
            <w:tcBorders>
              <w:top w:val="single" w:sz="4" w:space="0" w:color="BFBFBF"/>
              <w:left w:val="single" w:sz="4" w:space="0" w:color="BFBFBF"/>
              <w:bottom w:val="single" w:sz="4" w:space="0" w:color="BFBFBF"/>
              <w:right w:val="single" w:sz="4" w:space="0" w:color="BFBFBF"/>
            </w:tcBorders>
            <w:shd w:val="clear" w:color="000000" w:fill="00A9CE"/>
            <w:vAlign w:val="center"/>
            <w:hideMark/>
          </w:tcPr>
          <w:p w14:paraId="7791692B" w14:textId="77777777" w:rsidR="002C5697" w:rsidRDefault="002C5697" w:rsidP="002C5697">
            <w:pPr>
              <w:keepNext/>
              <w:keepLines/>
              <w:spacing w:after="0" w:line="240" w:lineRule="auto"/>
              <w:jc w:val="center"/>
              <w:rPr>
                <w:rFonts w:ascii="Verdana" w:hAnsi="Verdana"/>
                <w:color w:val="FFFFFF"/>
                <w:sz w:val="18"/>
                <w:szCs w:val="18"/>
              </w:rPr>
            </w:pPr>
            <w:r>
              <w:rPr>
                <w:rFonts w:ascii="Verdana" w:hAnsi="Verdana"/>
                <w:color w:val="FFFFFF"/>
                <w:sz w:val="18"/>
                <w:szCs w:val="18"/>
              </w:rPr>
              <w:t>Description</w:t>
            </w:r>
          </w:p>
        </w:tc>
        <w:tc>
          <w:tcPr>
            <w:tcW w:w="1060" w:type="pct"/>
            <w:tcBorders>
              <w:top w:val="single" w:sz="4" w:space="0" w:color="BFBFBF"/>
              <w:left w:val="nil"/>
              <w:bottom w:val="single" w:sz="4" w:space="0" w:color="BFBFBF"/>
              <w:right w:val="single" w:sz="4" w:space="0" w:color="BFBFBF"/>
            </w:tcBorders>
            <w:shd w:val="clear" w:color="000000" w:fill="00A9CE"/>
            <w:vAlign w:val="center"/>
            <w:hideMark/>
          </w:tcPr>
          <w:p w14:paraId="207C8DFC" w14:textId="77777777" w:rsidR="002C5697" w:rsidRDefault="002C5697" w:rsidP="002C5697">
            <w:pPr>
              <w:keepNext/>
              <w:keepLines/>
              <w:spacing w:after="0" w:line="240" w:lineRule="auto"/>
              <w:jc w:val="right"/>
              <w:rPr>
                <w:rFonts w:ascii="Verdana" w:hAnsi="Verdana"/>
                <w:color w:val="FFFFFF"/>
                <w:sz w:val="18"/>
                <w:szCs w:val="18"/>
              </w:rPr>
            </w:pPr>
            <w:r>
              <w:rPr>
                <w:rFonts w:ascii="Verdana" w:hAnsi="Verdana"/>
                <w:color w:val="FFFFFF"/>
                <w:sz w:val="18"/>
                <w:szCs w:val="18"/>
              </w:rPr>
              <w:t>Rate Per Covered Benefit</w:t>
            </w:r>
          </w:p>
        </w:tc>
        <w:tc>
          <w:tcPr>
            <w:tcW w:w="374" w:type="pct"/>
            <w:tcBorders>
              <w:top w:val="single" w:sz="4" w:space="0" w:color="BFBFBF"/>
              <w:left w:val="nil"/>
              <w:bottom w:val="single" w:sz="4" w:space="0" w:color="BFBFBF"/>
              <w:right w:val="single" w:sz="4" w:space="0" w:color="BFBFBF"/>
            </w:tcBorders>
            <w:shd w:val="clear" w:color="000000" w:fill="00A9CE"/>
            <w:vAlign w:val="center"/>
            <w:hideMark/>
          </w:tcPr>
          <w:p w14:paraId="655FBDA8" w14:textId="77777777" w:rsidR="002C5697" w:rsidRDefault="002C5697" w:rsidP="002C5697">
            <w:pPr>
              <w:keepNext/>
              <w:keepLines/>
              <w:spacing w:after="0" w:line="240" w:lineRule="auto"/>
              <w:jc w:val="right"/>
              <w:rPr>
                <w:rFonts w:ascii="Verdana" w:hAnsi="Verdana"/>
                <w:color w:val="FFFFFF"/>
                <w:sz w:val="18"/>
                <w:szCs w:val="18"/>
              </w:rPr>
            </w:pPr>
            <w:r>
              <w:rPr>
                <w:rFonts w:ascii="Verdana" w:hAnsi="Verdana"/>
                <w:color w:val="FFFFFF"/>
                <w:sz w:val="18"/>
                <w:szCs w:val="18"/>
              </w:rPr>
              <w:t>Lives</w:t>
            </w:r>
          </w:p>
        </w:tc>
        <w:tc>
          <w:tcPr>
            <w:tcW w:w="842" w:type="pct"/>
            <w:tcBorders>
              <w:top w:val="single" w:sz="4" w:space="0" w:color="BFBFBF"/>
              <w:left w:val="nil"/>
              <w:bottom w:val="single" w:sz="4" w:space="0" w:color="BFBFBF"/>
              <w:right w:val="single" w:sz="4" w:space="0" w:color="BFBFBF"/>
            </w:tcBorders>
            <w:shd w:val="clear" w:color="000000" w:fill="00A9CE"/>
            <w:vAlign w:val="center"/>
            <w:hideMark/>
          </w:tcPr>
          <w:p w14:paraId="24FBD051" w14:textId="77777777" w:rsidR="002C5697" w:rsidRDefault="002C5697" w:rsidP="002C5697">
            <w:pPr>
              <w:keepNext/>
              <w:keepLines/>
              <w:spacing w:after="0" w:line="240" w:lineRule="auto"/>
              <w:jc w:val="right"/>
              <w:rPr>
                <w:rFonts w:ascii="Verdana" w:hAnsi="Verdana"/>
                <w:color w:val="FFFFFF"/>
                <w:sz w:val="18"/>
                <w:szCs w:val="18"/>
              </w:rPr>
            </w:pPr>
            <w:r>
              <w:rPr>
                <w:rFonts w:ascii="Verdana" w:hAnsi="Verdana"/>
                <w:color w:val="FFFFFF"/>
                <w:sz w:val="18"/>
                <w:szCs w:val="18"/>
              </w:rPr>
              <w:t>Covered Benefit</w:t>
            </w:r>
          </w:p>
        </w:tc>
        <w:tc>
          <w:tcPr>
            <w:tcW w:w="636" w:type="pct"/>
            <w:tcBorders>
              <w:top w:val="single" w:sz="4" w:space="0" w:color="BFBFBF"/>
              <w:left w:val="nil"/>
              <w:bottom w:val="single" w:sz="4" w:space="0" w:color="BFBFBF"/>
              <w:right w:val="single" w:sz="4" w:space="0" w:color="BFBFBF"/>
            </w:tcBorders>
            <w:shd w:val="clear" w:color="000000" w:fill="00A9CE"/>
            <w:vAlign w:val="center"/>
            <w:hideMark/>
          </w:tcPr>
          <w:p w14:paraId="6B7377AF" w14:textId="77777777" w:rsidR="002C5697" w:rsidRDefault="002C5697" w:rsidP="002C5697">
            <w:pPr>
              <w:keepNext/>
              <w:keepLines/>
              <w:spacing w:after="0" w:line="240" w:lineRule="auto"/>
              <w:jc w:val="right"/>
              <w:rPr>
                <w:rFonts w:ascii="Verdana" w:hAnsi="Verdana"/>
                <w:color w:val="FFFFFF"/>
                <w:sz w:val="18"/>
                <w:szCs w:val="18"/>
              </w:rPr>
            </w:pPr>
            <w:r>
              <w:rPr>
                <w:rFonts w:ascii="Verdana" w:hAnsi="Verdana"/>
                <w:color w:val="FFFFFF"/>
                <w:sz w:val="18"/>
                <w:szCs w:val="18"/>
              </w:rPr>
              <w:t>Quote Rate</w:t>
            </w:r>
          </w:p>
        </w:tc>
        <w:tc>
          <w:tcPr>
            <w:tcW w:w="1129" w:type="pct"/>
            <w:tcBorders>
              <w:top w:val="single" w:sz="4" w:space="0" w:color="BFBFBF"/>
              <w:left w:val="nil"/>
              <w:bottom w:val="single" w:sz="4" w:space="0" w:color="BFBFBF"/>
              <w:right w:val="single" w:sz="4" w:space="0" w:color="BFBFBF"/>
            </w:tcBorders>
            <w:shd w:val="clear" w:color="000000" w:fill="00A9CE"/>
            <w:vAlign w:val="center"/>
            <w:hideMark/>
          </w:tcPr>
          <w:p w14:paraId="47C3609F" w14:textId="77777777" w:rsidR="002C5697" w:rsidRDefault="002C5697" w:rsidP="002C5697">
            <w:pPr>
              <w:keepNext/>
              <w:keepLines/>
              <w:spacing w:after="0" w:line="240" w:lineRule="auto"/>
              <w:jc w:val="right"/>
              <w:rPr>
                <w:rFonts w:ascii="Verdana" w:hAnsi="Verdana"/>
                <w:color w:val="FFFFFF"/>
                <w:sz w:val="18"/>
                <w:szCs w:val="18"/>
              </w:rPr>
            </w:pPr>
            <w:r>
              <w:rPr>
                <w:rFonts w:ascii="Verdana" w:hAnsi="Verdana"/>
                <w:color w:val="FFFFFF"/>
                <w:sz w:val="18"/>
                <w:szCs w:val="18"/>
              </w:rPr>
              <w:t>Quote Monthly Premium</w:t>
            </w:r>
          </w:p>
        </w:tc>
      </w:tr>
      <w:tr w:rsidR="002C5697" w14:paraId="292FFFE2" w14:textId="77777777" w:rsidTr="002C5697">
        <w:trPr>
          <w:trHeight w:val="255"/>
        </w:trPr>
        <w:tc>
          <w:tcPr>
            <w:tcW w:w="959" w:type="pct"/>
            <w:tcBorders>
              <w:top w:val="nil"/>
              <w:left w:val="single" w:sz="4" w:space="0" w:color="BFBFBF"/>
              <w:bottom w:val="single" w:sz="4" w:space="0" w:color="BFBFBF"/>
              <w:right w:val="single" w:sz="4" w:space="0" w:color="BFBFBF"/>
            </w:tcBorders>
            <w:shd w:val="clear" w:color="auto" w:fill="auto"/>
            <w:vAlign w:val="bottom"/>
            <w:hideMark/>
          </w:tcPr>
          <w:p w14:paraId="1F03A346" w14:textId="77777777" w:rsidR="002C5697" w:rsidRDefault="002C5697" w:rsidP="002C5697">
            <w:pPr>
              <w:keepLines/>
              <w:spacing w:after="0" w:line="240" w:lineRule="auto"/>
              <w:jc w:val="center"/>
              <w:rPr>
                <w:rFonts w:ascii="Verdana" w:hAnsi="Verdana"/>
                <w:sz w:val="18"/>
                <w:szCs w:val="18"/>
              </w:rPr>
            </w:pPr>
            <w:r>
              <w:rPr>
                <w:rFonts w:ascii="Verdana" w:hAnsi="Verdana"/>
                <w:sz w:val="18"/>
                <w:szCs w:val="18"/>
              </w:rPr>
              <w:t>Employer Paid STD</w:t>
            </w:r>
          </w:p>
        </w:tc>
        <w:tc>
          <w:tcPr>
            <w:tcW w:w="1060" w:type="pct"/>
            <w:tcBorders>
              <w:top w:val="nil"/>
              <w:left w:val="nil"/>
              <w:bottom w:val="single" w:sz="4" w:space="0" w:color="BFBFBF"/>
              <w:right w:val="single" w:sz="4" w:space="0" w:color="BFBFBF"/>
            </w:tcBorders>
            <w:shd w:val="clear" w:color="auto" w:fill="auto"/>
            <w:noWrap/>
            <w:vAlign w:val="center"/>
            <w:hideMark/>
          </w:tcPr>
          <w:p w14:paraId="699B88B9" w14:textId="77777777" w:rsidR="002C5697" w:rsidRDefault="002C5697" w:rsidP="002C5697">
            <w:pPr>
              <w:keepLines/>
              <w:spacing w:after="0" w:line="240" w:lineRule="auto"/>
              <w:jc w:val="right"/>
              <w:rPr>
                <w:rFonts w:ascii="Verdana" w:hAnsi="Verdana"/>
                <w:sz w:val="18"/>
                <w:szCs w:val="18"/>
              </w:rPr>
            </w:pPr>
            <w:r>
              <w:rPr>
                <w:rFonts w:ascii="Verdana" w:hAnsi="Verdana"/>
                <w:sz w:val="18"/>
                <w:szCs w:val="18"/>
              </w:rPr>
              <w:t xml:space="preserve">$10 </w:t>
            </w:r>
          </w:p>
        </w:tc>
        <w:tc>
          <w:tcPr>
            <w:tcW w:w="374" w:type="pct"/>
            <w:tcBorders>
              <w:top w:val="nil"/>
              <w:left w:val="nil"/>
              <w:bottom w:val="single" w:sz="4" w:space="0" w:color="BFBFBF"/>
              <w:right w:val="single" w:sz="4" w:space="0" w:color="BFBFBF"/>
            </w:tcBorders>
            <w:shd w:val="clear" w:color="auto" w:fill="auto"/>
            <w:noWrap/>
            <w:vAlign w:val="center"/>
            <w:hideMark/>
          </w:tcPr>
          <w:p w14:paraId="0ED90850" w14:textId="77777777" w:rsidR="002C5697" w:rsidRDefault="002C5697" w:rsidP="002C5697">
            <w:pPr>
              <w:keepLines/>
              <w:spacing w:after="0" w:line="240" w:lineRule="auto"/>
              <w:jc w:val="right"/>
              <w:rPr>
                <w:rFonts w:ascii="Verdana" w:hAnsi="Verdana"/>
                <w:sz w:val="18"/>
                <w:szCs w:val="18"/>
              </w:rPr>
            </w:pPr>
            <w:r>
              <w:rPr>
                <w:rFonts w:ascii="Verdana" w:hAnsi="Verdana"/>
                <w:sz w:val="18"/>
                <w:szCs w:val="18"/>
              </w:rPr>
              <w:t>477</w:t>
            </w:r>
          </w:p>
        </w:tc>
        <w:tc>
          <w:tcPr>
            <w:tcW w:w="842" w:type="pct"/>
            <w:tcBorders>
              <w:top w:val="nil"/>
              <w:left w:val="nil"/>
              <w:bottom w:val="single" w:sz="4" w:space="0" w:color="BFBFBF"/>
              <w:right w:val="single" w:sz="4" w:space="0" w:color="BFBFBF"/>
            </w:tcBorders>
            <w:shd w:val="clear" w:color="auto" w:fill="auto"/>
            <w:noWrap/>
            <w:vAlign w:val="center"/>
            <w:hideMark/>
          </w:tcPr>
          <w:p w14:paraId="37209624" w14:textId="77777777" w:rsidR="002C5697" w:rsidRDefault="002C5697" w:rsidP="002C5697">
            <w:pPr>
              <w:keepLines/>
              <w:spacing w:after="0" w:line="240" w:lineRule="auto"/>
              <w:jc w:val="right"/>
              <w:rPr>
                <w:rFonts w:ascii="Verdana" w:hAnsi="Verdana"/>
                <w:sz w:val="18"/>
                <w:szCs w:val="18"/>
              </w:rPr>
            </w:pPr>
            <w:r>
              <w:rPr>
                <w:rFonts w:ascii="Verdana" w:hAnsi="Verdana"/>
                <w:sz w:val="18"/>
                <w:szCs w:val="18"/>
              </w:rPr>
              <w:t xml:space="preserve">$303,420 </w:t>
            </w:r>
          </w:p>
        </w:tc>
        <w:tc>
          <w:tcPr>
            <w:tcW w:w="636" w:type="pct"/>
            <w:tcBorders>
              <w:top w:val="nil"/>
              <w:left w:val="nil"/>
              <w:bottom w:val="single" w:sz="4" w:space="0" w:color="BFBFBF"/>
              <w:right w:val="single" w:sz="4" w:space="0" w:color="BFBFBF"/>
            </w:tcBorders>
            <w:shd w:val="clear" w:color="auto" w:fill="auto"/>
            <w:noWrap/>
            <w:vAlign w:val="center"/>
            <w:hideMark/>
          </w:tcPr>
          <w:p w14:paraId="782CBBF1" w14:textId="77777777" w:rsidR="002C5697" w:rsidRDefault="002C5697" w:rsidP="002C5697">
            <w:pPr>
              <w:keepLines/>
              <w:spacing w:after="0" w:line="240" w:lineRule="auto"/>
              <w:jc w:val="right"/>
              <w:rPr>
                <w:rFonts w:ascii="Verdana" w:hAnsi="Verdana"/>
                <w:sz w:val="18"/>
                <w:szCs w:val="18"/>
              </w:rPr>
            </w:pPr>
            <w:r>
              <w:rPr>
                <w:rFonts w:ascii="Verdana" w:hAnsi="Verdana"/>
                <w:sz w:val="18"/>
                <w:szCs w:val="18"/>
              </w:rPr>
              <w:t xml:space="preserve">$0.480 </w:t>
            </w:r>
          </w:p>
        </w:tc>
        <w:tc>
          <w:tcPr>
            <w:tcW w:w="1129" w:type="pct"/>
            <w:tcBorders>
              <w:top w:val="nil"/>
              <w:left w:val="nil"/>
              <w:bottom w:val="single" w:sz="4" w:space="0" w:color="BFBFBF"/>
              <w:right w:val="single" w:sz="4" w:space="0" w:color="BFBFBF"/>
            </w:tcBorders>
            <w:shd w:val="clear" w:color="auto" w:fill="auto"/>
            <w:noWrap/>
            <w:vAlign w:val="center"/>
            <w:hideMark/>
          </w:tcPr>
          <w:p w14:paraId="6732F6B9" w14:textId="77777777" w:rsidR="002C5697" w:rsidRDefault="002C5697" w:rsidP="002C5697">
            <w:pPr>
              <w:keepLines/>
              <w:spacing w:after="0" w:line="240" w:lineRule="auto"/>
              <w:jc w:val="right"/>
              <w:rPr>
                <w:rFonts w:ascii="Verdana" w:hAnsi="Verdana"/>
                <w:sz w:val="18"/>
                <w:szCs w:val="18"/>
              </w:rPr>
            </w:pPr>
            <w:r>
              <w:rPr>
                <w:rFonts w:ascii="Verdana" w:hAnsi="Verdana"/>
                <w:sz w:val="18"/>
                <w:szCs w:val="18"/>
              </w:rPr>
              <w:t xml:space="preserve">$14,564 </w:t>
            </w:r>
          </w:p>
        </w:tc>
      </w:tr>
    </w:tbl>
    <w:p w14:paraId="480464B8" w14:textId="77777777" w:rsidR="002C5697" w:rsidRDefault="002C5697" w:rsidP="002C5697">
      <w:pPr>
        <w:keepNext/>
        <w:spacing w:after="120" w:line="240" w:lineRule="auto"/>
        <w:rPr>
          <w:rFonts w:ascii="Verdana" w:eastAsia="Times New Roman" w:hAnsi="Verdana" w:cs="Times New Roman"/>
          <w:color w:val="000000" w:themeColor="text1"/>
          <w:sz w:val="18"/>
          <w:szCs w:val="18"/>
        </w:rPr>
      </w:pPr>
    </w:p>
    <w:p w14:paraId="5858CD32" w14:textId="7AB25095" w:rsidR="00140101" w:rsidRPr="0038114F" w:rsidRDefault="00140101" w:rsidP="002C5697">
      <w:pPr>
        <w:keepNext/>
        <w:spacing w:after="120" w:line="240" w:lineRule="auto"/>
        <w:rPr>
          <w:rFonts w:ascii="Verdana" w:eastAsia="Times New Roman" w:hAnsi="Verdana" w:cs="Times New Roman"/>
          <w:color w:val="000000" w:themeColor="text1"/>
          <w:sz w:val="18"/>
          <w:szCs w:val="18"/>
        </w:rPr>
      </w:pPr>
    </w:p>
    <w:p w14:paraId="61C4D9FE" w14:textId="4633CFF4" w:rsidR="00140101" w:rsidRPr="00687490" w:rsidRDefault="00140101" w:rsidP="00140101">
      <w:pPr>
        <w:spacing w:after="0" w:line="180" w:lineRule="exact"/>
        <w:rPr>
          <w:rFonts w:ascii="Verdana" w:eastAsia="Times New Roman" w:hAnsi="Verdana" w:cs="Times New Roman"/>
          <w:bCs/>
          <w:sz w:val="18"/>
          <w:szCs w:val="18"/>
        </w:rPr>
      </w:pPr>
      <w:bookmarkStart w:id="18" w:name="AddRateSTD"/>
      <w:r>
        <w:rPr>
          <w:rFonts w:ascii="Verdana" w:eastAsia="Times New Roman" w:hAnsi="Verdana" w:cs="Times New Roman"/>
          <w:bCs/>
          <w:sz w:val="18"/>
          <w:szCs w:val="18"/>
        </w:rPr>
        <w:t xml:space="preserve"> </w:t>
      </w:r>
      <w:bookmarkEnd w:id="18"/>
      <w:r w:rsidR="00F912D6">
        <w:rPr>
          <w:rFonts w:ascii="Verdana" w:eastAsia="Times New Roman" w:hAnsi="Verdana" w:cs="Times New Roman"/>
          <w:b/>
          <w:i/>
          <w:iCs/>
          <w:sz w:val="18"/>
          <w:szCs w:val="18"/>
        </w:rPr>
        <w:t>***offering an Employee Paid Option as well.  Choice for either the Employer Paid STD plan or the Employee Paid STD plan will be made at the Employer Level not the Employee Level***</w:t>
      </w:r>
    </w:p>
    <w:p w14:paraId="57EBD584" w14:textId="77777777" w:rsidR="00140101" w:rsidRPr="00687490" w:rsidRDefault="00140101" w:rsidP="00140101">
      <w:pPr>
        <w:spacing w:after="0" w:line="180" w:lineRule="exact"/>
        <w:rPr>
          <w:rFonts w:ascii="Verdana" w:eastAsia="Times New Roman" w:hAnsi="Verdana" w:cs="Times New Roman"/>
          <w:bCs/>
          <w:sz w:val="18"/>
          <w:szCs w:val="18"/>
        </w:rPr>
      </w:pPr>
      <w:r w:rsidRPr="00687490">
        <w:rPr>
          <w:rFonts w:ascii="Verdana" w:eastAsia="Times New Roman" w:hAnsi="Verdana" w:cs="Times New Roman"/>
          <w:bCs/>
          <w:sz w:val="18"/>
          <w:szCs w:val="18"/>
        </w:rPr>
        <w:br w:type="page"/>
      </w:r>
    </w:p>
    <w:p w14:paraId="0D6B068B" w14:textId="77777777" w:rsidR="00140101" w:rsidRPr="00C72FCA" w:rsidRDefault="008E6F84" w:rsidP="00140101">
      <w:pPr>
        <w:widowControl w:val="0"/>
        <w:spacing w:after="240" w:line="240" w:lineRule="auto"/>
        <w:rPr>
          <w:rFonts w:ascii="Verdana" w:hAnsi="Verdana"/>
          <w:b/>
          <w:sz w:val="24"/>
          <w:szCs w:val="24"/>
        </w:rPr>
      </w:pPr>
      <w:bookmarkStart w:id="19" w:name="DefinitionsSTD"/>
      <w:r>
        <w:rPr>
          <w:rFonts w:ascii="Verdana" w:hAnsi="Verdana"/>
          <w:b/>
          <w:sz w:val="24"/>
          <w:szCs w:val="24"/>
        </w:rPr>
        <w:lastRenderedPageBreak/>
        <w:t>STD</w:t>
      </w:r>
      <w:r w:rsidR="00140101" w:rsidRPr="00C72FCA">
        <w:rPr>
          <w:rFonts w:ascii="Verdana" w:hAnsi="Verdana"/>
          <w:b/>
          <w:sz w:val="24"/>
          <w:szCs w:val="24"/>
        </w:rPr>
        <w:t xml:space="preserve"> Coverage Highlights and Descriptions:</w:t>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8"/>
        <w:gridCol w:w="8007"/>
      </w:tblGrid>
      <w:tr w:rsidR="00140101" w:rsidRPr="005A6529" w14:paraId="2AA00C0C" w14:textId="77777777" w:rsidTr="00140101">
        <w:trPr>
          <w:cantSplit/>
        </w:trPr>
        <w:tc>
          <w:tcPr>
            <w:tcW w:w="2798" w:type="dxa"/>
          </w:tcPr>
          <w:p w14:paraId="4D49592B" w14:textId="77777777" w:rsidR="00140101" w:rsidRDefault="00140101" w:rsidP="00140101">
            <w:pPr>
              <w:spacing w:before="120"/>
              <w:rPr>
                <w:rFonts w:ascii="Verdana" w:hAnsi="Verdana"/>
                <w:b/>
                <w:bCs/>
                <w:color w:val="015191"/>
                <w:sz w:val="18"/>
                <w:szCs w:val="18"/>
              </w:rPr>
            </w:pPr>
            <w:bookmarkStart w:id="20" w:name="DefSTDLayoffAll" w:colFirst="0" w:colLast="1"/>
            <w:r>
              <w:rPr>
                <w:rFonts w:ascii="Verdana" w:hAnsi="Verdana"/>
                <w:b/>
                <w:bCs/>
                <w:color w:val="015191"/>
                <w:sz w:val="18"/>
                <w:szCs w:val="18"/>
              </w:rPr>
              <w:t>Continuation of Coverage During Layoff</w:t>
            </w:r>
          </w:p>
          <w:p w14:paraId="11EEAC4D" w14:textId="77777777" w:rsidR="00140101" w:rsidRPr="005A6529" w:rsidRDefault="00140101" w:rsidP="00140101">
            <w:pPr>
              <w:spacing w:before="120"/>
              <w:rPr>
                <w:rFonts w:ascii="Verdana" w:hAnsi="Verdana"/>
                <w:i/>
                <w:iCs/>
                <w:color w:val="015191"/>
                <w:sz w:val="18"/>
                <w:szCs w:val="18"/>
              </w:rPr>
            </w:pPr>
            <w:bookmarkStart w:id="21" w:name="DefSTDLayOffTitle"/>
            <w:r>
              <w:rPr>
                <w:rFonts w:ascii="Verdana" w:hAnsi="Verdana"/>
                <w:i/>
                <w:iCs/>
                <w:color w:val="015191"/>
                <w:sz w:val="18"/>
                <w:szCs w:val="18"/>
              </w:rPr>
              <w:t>Unum Standard</w:t>
            </w:r>
            <w:bookmarkEnd w:id="21"/>
          </w:p>
        </w:tc>
        <w:tc>
          <w:tcPr>
            <w:tcW w:w="8007" w:type="dxa"/>
          </w:tcPr>
          <w:p w14:paraId="0C54CC1C" w14:textId="77777777" w:rsidR="00140101" w:rsidRPr="005A6529" w:rsidRDefault="00140101" w:rsidP="00140101">
            <w:pPr>
              <w:spacing w:before="120"/>
              <w:rPr>
                <w:rFonts w:ascii="Verdana" w:hAnsi="Verdana"/>
                <w:sz w:val="18"/>
                <w:szCs w:val="18"/>
              </w:rPr>
            </w:pPr>
            <w:r w:rsidRPr="005A6529">
              <w:rPr>
                <w:rFonts w:ascii="Verdana" w:hAnsi="Verdana"/>
                <w:sz w:val="18"/>
                <w:szCs w:val="18"/>
              </w:rPr>
              <w:t xml:space="preserve">Coverage will continue for employees who are on a temporary layoff through </w:t>
            </w:r>
            <w:bookmarkStart w:id="22" w:name="DefSTDLayoffText"/>
            <w:r w:rsidRPr="000E7197">
              <w:rPr>
                <w:rFonts w:ascii="Verdana" w:hAnsi="Verdana"/>
                <w:sz w:val="18"/>
                <w:szCs w:val="18"/>
              </w:rPr>
              <w:t>the end of the month that immediately follows</w:t>
            </w:r>
            <w:bookmarkEnd w:id="22"/>
            <w:r w:rsidRPr="000E7197">
              <w:rPr>
                <w:rFonts w:ascii="Verdana" w:hAnsi="Verdana"/>
                <w:sz w:val="18"/>
                <w:szCs w:val="18"/>
              </w:rPr>
              <w:t xml:space="preserve"> the month </w:t>
            </w:r>
            <w:r w:rsidRPr="005A6529">
              <w:rPr>
                <w:rFonts w:ascii="Verdana" w:hAnsi="Verdana"/>
                <w:sz w:val="18"/>
                <w:szCs w:val="18"/>
              </w:rPr>
              <w:t>in which the layoff begins.</w:t>
            </w:r>
          </w:p>
          <w:p w14:paraId="2C270240" w14:textId="77777777" w:rsidR="00140101" w:rsidRPr="005A6529" w:rsidRDefault="00140101" w:rsidP="00140101">
            <w:pPr>
              <w:spacing w:before="120"/>
              <w:rPr>
                <w:rFonts w:ascii="Verdana" w:hAnsi="Verdana"/>
                <w:sz w:val="18"/>
                <w:szCs w:val="18"/>
              </w:rPr>
            </w:pPr>
            <w:r w:rsidRPr="005A6529">
              <w:rPr>
                <w:rFonts w:ascii="Verdana" w:hAnsi="Verdana"/>
                <w:sz w:val="18"/>
                <w:szCs w:val="18"/>
              </w:rPr>
              <w:t>Employers may continue coverage for employees who are laid off for one full month beyond the month in which their coverage ends. The employer must:</w:t>
            </w:r>
          </w:p>
          <w:p w14:paraId="6F8E0DF0" w14:textId="77777777" w:rsidR="00140101" w:rsidRPr="005A6529" w:rsidRDefault="00140101" w:rsidP="009A58EF">
            <w:pPr>
              <w:pStyle w:val="ListParagraph"/>
              <w:numPr>
                <w:ilvl w:val="0"/>
                <w:numId w:val="23"/>
              </w:numPr>
              <w:spacing w:before="120"/>
              <w:rPr>
                <w:rFonts w:ascii="Verdana" w:hAnsi="Verdana"/>
                <w:sz w:val="18"/>
                <w:szCs w:val="18"/>
              </w:rPr>
            </w:pPr>
            <w:r w:rsidRPr="005A6529">
              <w:rPr>
                <w:rFonts w:ascii="Verdana" w:hAnsi="Verdana"/>
                <w:sz w:val="18"/>
                <w:szCs w:val="18"/>
              </w:rPr>
              <w:t>have agreed to the layoff in writing</w:t>
            </w:r>
          </w:p>
          <w:p w14:paraId="37B9B556" w14:textId="77777777" w:rsidR="00140101" w:rsidRPr="005A6529" w:rsidRDefault="00140101" w:rsidP="009A58EF">
            <w:pPr>
              <w:pStyle w:val="ListParagraph"/>
              <w:numPr>
                <w:ilvl w:val="0"/>
                <w:numId w:val="23"/>
              </w:numPr>
              <w:spacing w:before="120"/>
              <w:rPr>
                <w:rFonts w:ascii="Verdana" w:hAnsi="Verdana"/>
                <w:sz w:val="18"/>
                <w:szCs w:val="18"/>
              </w:rPr>
            </w:pPr>
            <w:r w:rsidRPr="005A6529">
              <w:rPr>
                <w:rFonts w:ascii="Verdana" w:hAnsi="Verdana"/>
                <w:sz w:val="18"/>
                <w:szCs w:val="18"/>
              </w:rPr>
              <w:t>pay premiums for the period of time that coverage is continued, and</w:t>
            </w:r>
          </w:p>
          <w:p w14:paraId="6A6E758A" w14:textId="77777777" w:rsidR="00140101" w:rsidRPr="005A6529" w:rsidRDefault="00140101" w:rsidP="009A58EF">
            <w:pPr>
              <w:pStyle w:val="ListParagraph"/>
              <w:numPr>
                <w:ilvl w:val="0"/>
                <w:numId w:val="23"/>
              </w:numPr>
              <w:spacing w:before="120"/>
              <w:rPr>
                <w:rFonts w:ascii="Verdana" w:hAnsi="Verdana"/>
                <w:sz w:val="18"/>
                <w:szCs w:val="18"/>
              </w:rPr>
            </w:pPr>
            <w:r w:rsidRPr="005A6529">
              <w:rPr>
                <w:rFonts w:ascii="Verdana" w:hAnsi="Verdana"/>
                <w:sz w:val="18"/>
                <w:szCs w:val="18"/>
              </w:rPr>
              <w:t>not discriminate in who can continue coverage and who cannot.</w:t>
            </w:r>
          </w:p>
        </w:tc>
      </w:tr>
      <w:tr w:rsidR="00140101" w:rsidRPr="005A6529" w14:paraId="3A3A9859" w14:textId="77777777" w:rsidTr="00140101">
        <w:trPr>
          <w:cantSplit/>
        </w:trPr>
        <w:tc>
          <w:tcPr>
            <w:tcW w:w="2798" w:type="dxa"/>
          </w:tcPr>
          <w:p w14:paraId="503D4DC0" w14:textId="77777777" w:rsidR="00140101" w:rsidRDefault="00140101" w:rsidP="00140101">
            <w:pPr>
              <w:spacing w:before="120"/>
              <w:rPr>
                <w:rFonts w:ascii="Verdana" w:hAnsi="Verdana"/>
                <w:b/>
                <w:bCs/>
                <w:color w:val="015191"/>
                <w:sz w:val="18"/>
                <w:szCs w:val="18"/>
              </w:rPr>
            </w:pPr>
            <w:bookmarkStart w:id="23" w:name="DefSTDLOAAll" w:colFirst="0" w:colLast="1"/>
            <w:bookmarkEnd w:id="20"/>
            <w:r>
              <w:rPr>
                <w:rFonts w:ascii="Verdana" w:hAnsi="Verdana"/>
                <w:b/>
                <w:bCs/>
                <w:color w:val="015191"/>
                <w:sz w:val="18"/>
                <w:szCs w:val="18"/>
              </w:rPr>
              <w:t>Continuation of Coverage During Leave of Absence</w:t>
            </w:r>
          </w:p>
          <w:p w14:paraId="5ADC954A" w14:textId="77777777" w:rsidR="00140101" w:rsidRDefault="00140101" w:rsidP="00140101">
            <w:pPr>
              <w:spacing w:before="120"/>
              <w:rPr>
                <w:rFonts w:ascii="Verdana" w:hAnsi="Verdana"/>
                <w:b/>
                <w:bCs/>
                <w:color w:val="015191"/>
                <w:sz w:val="18"/>
                <w:szCs w:val="18"/>
              </w:rPr>
            </w:pPr>
            <w:bookmarkStart w:id="24" w:name="DefSTDLOATitle"/>
            <w:r>
              <w:rPr>
                <w:rFonts w:ascii="Verdana" w:hAnsi="Verdana"/>
                <w:i/>
                <w:iCs/>
                <w:color w:val="015191"/>
                <w:sz w:val="18"/>
                <w:szCs w:val="18"/>
              </w:rPr>
              <w:t>Unum Standard</w:t>
            </w:r>
            <w:bookmarkEnd w:id="24"/>
          </w:p>
        </w:tc>
        <w:tc>
          <w:tcPr>
            <w:tcW w:w="8007" w:type="dxa"/>
          </w:tcPr>
          <w:p w14:paraId="5B583037" w14:textId="77777777" w:rsidR="00140101" w:rsidRPr="00911289" w:rsidRDefault="00140101" w:rsidP="00140101">
            <w:pPr>
              <w:spacing w:before="120"/>
              <w:rPr>
                <w:rFonts w:ascii="Verdana" w:hAnsi="Verdana"/>
                <w:sz w:val="18"/>
                <w:szCs w:val="18"/>
              </w:rPr>
            </w:pPr>
            <w:r w:rsidRPr="0091218E">
              <w:rPr>
                <w:rFonts w:ascii="Verdana" w:hAnsi="Verdana"/>
                <w:sz w:val="18"/>
                <w:szCs w:val="18"/>
              </w:rPr>
              <w:t xml:space="preserve">Coverage will continue for employees who are on a temporary leave of absence through </w:t>
            </w:r>
            <w:bookmarkStart w:id="25" w:name="DefSTDLOAText"/>
            <w:r w:rsidRPr="0091218E">
              <w:rPr>
                <w:rFonts w:ascii="Verdana" w:hAnsi="Verdana"/>
                <w:sz w:val="18"/>
                <w:szCs w:val="18"/>
              </w:rPr>
              <w:t>the end of the month that immediately follows</w:t>
            </w:r>
            <w:bookmarkEnd w:id="25"/>
            <w:r w:rsidRPr="0091218E">
              <w:rPr>
                <w:rFonts w:ascii="Verdana" w:hAnsi="Verdana"/>
                <w:sz w:val="18"/>
                <w:szCs w:val="18"/>
              </w:rPr>
              <w:t xml:space="preserve"> the month in </w:t>
            </w:r>
            <w:r w:rsidRPr="00911289">
              <w:rPr>
                <w:rFonts w:ascii="Verdana" w:hAnsi="Verdana"/>
                <w:sz w:val="18"/>
                <w:szCs w:val="18"/>
              </w:rPr>
              <w:t>which the leave begins.</w:t>
            </w:r>
          </w:p>
          <w:p w14:paraId="613EA33E" w14:textId="77777777" w:rsidR="00140101" w:rsidRPr="00911289" w:rsidRDefault="00140101" w:rsidP="00140101">
            <w:pPr>
              <w:spacing w:before="120"/>
              <w:rPr>
                <w:rFonts w:ascii="Verdana" w:hAnsi="Verdana"/>
                <w:sz w:val="18"/>
                <w:szCs w:val="18"/>
              </w:rPr>
            </w:pPr>
            <w:r w:rsidRPr="00911289">
              <w:rPr>
                <w:rFonts w:ascii="Verdana" w:hAnsi="Verdana"/>
                <w:sz w:val="18"/>
                <w:szCs w:val="18"/>
              </w:rPr>
              <w:t>Employers may continue coverage for employees who are on a leave of absence for one full month beyond the month in which their coverage ends. The employer must:</w:t>
            </w:r>
          </w:p>
          <w:p w14:paraId="3B0965A1" w14:textId="77777777" w:rsidR="00140101" w:rsidRPr="00911289" w:rsidRDefault="00140101" w:rsidP="009A58EF">
            <w:pPr>
              <w:pStyle w:val="ListParagraph"/>
              <w:numPr>
                <w:ilvl w:val="0"/>
                <w:numId w:val="23"/>
              </w:numPr>
              <w:spacing w:before="120"/>
              <w:rPr>
                <w:rFonts w:ascii="Verdana" w:hAnsi="Verdana"/>
                <w:sz w:val="18"/>
                <w:szCs w:val="18"/>
              </w:rPr>
            </w:pPr>
            <w:r w:rsidRPr="00911289">
              <w:rPr>
                <w:rFonts w:ascii="Verdana" w:hAnsi="Verdana"/>
                <w:sz w:val="18"/>
                <w:szCs w:val="18"/>
              </w:rPr>
              <w:t>have agreed to the leave of absence in writing</w:t>
            </w:r>
          </w:p>
          <w:p w14:paraId="728C9EBD" w14:textId="77777777" w:rsidR="00140101" w:rsidRPr="00911289" w:rsidRDefault="00140101" w:rsidP="009A58EF">
            <w:pPr>
              <w:pStyle w:val="ListParagraph"/>
              <w:numPr>
                <w:ilvl w:val="0"/>
                <w:numId w:val="23"/>
              </w:numPr>
              <w:spacing w:before="120"/>
              <w:rPr>
                <w:rFonts w:ascii="Verdana" w:hAnsi="Verdana"/>
                <w:sz w:val="18"/>
                <w:szCs w:val="18"/>
              </w:rPr>
            </w:pPr>
            <w:r w:rsidRPr="00911289">
              <w:rPr>
                <w:rFonts w:ascii="Verdana" w:hAnsi="Verdana"/>
                <w:sz w:val="18"/>
                <w:szCs w:val="18"/>
              </w:rPr>
              <w:t>pay premiums for the period of time that coverage is continued, and</w:t>
            </w:r>
          </w:p>
          <w:p w14:paraId="17B29CEB" w14:textId="77777777" w:rsidR="00140101" w:rsidRPr="005A6529" w:rsidRDefault="00140101" w:rsidP="009A58EF">
            <w:pPr>
              <w:pStyle w:val="ListParagraph"/>
              <w:numPr>
                <w:ilvl w:val="0"/>
                <w:numId w:val="23"/>
              </w:numPr>
              <w:spacing w:before="120"/>
              <w:rPr>
                <w:rFonts w:ascii="Verdana" w:hAnsi="Verdana"/>
                <w:sz w:val="18"/>
                <w:szCs w:val="18"/>
              </w:rPr>
            </w:pPr>
            <w:r w:rsidRPr="00911289">
              <w:rPr>
                <w:rFonts w:ascii="Verdana" w:hAnsi="Verdana"/>
                <w:sz w:val="18"/>
                <w:szCs w:val="18"/>
              </w:rPr>
              <w:t>not discriminate in who can continue coverage and who cannot.</w:t>
            </w:r>
          </w:p>
        </w:tc>
      </w:tr>
      <w:bookmarkEnd w:id="23"/>
      <w:tr w:rsidR="00140101" w:rsidRPr="00D8528B" w14:paraId="24009357" w14:textId="77777777" w:rsidTr="00140101">
        <w:trPr>
          <w:cantSplit/>
        </w:trPr>
        <w:tc>
          <w:tcPr>
            <w:tcW w:w="2798" w:type="dxa"/>
          </w:tcPr>
          <w:p w14:paraId="159534D8" w14:textId="77777777" w:rsidR="00140101" w:rsidRDefault="00140101" w:rsidP="00140101">
            <w:pPr>
              <w:spacing w:before="120"/>
              <w:rPr>
                <w:rFonts w:ascii="Verdana" w:hAnsi="Verdana"/>
                <w:b/>
                <w:bCs/>
                <w:color w:val="015191"/>
                <w:sz w:val="18"/>
                <w:szCs w:val="18"/>
              </w:rPr>
            </w:pPr>
            <w:r>
              <w:rPr>
                <w:rFonts w:ascii="Verdana" w:hAnsi="Verdana"/>
                <w:b/>
                <w:bCs/>
                <w:color w:val="015191"/>
                <w:sz w:val="18"/>
                <w:szCs w:val="18"/>
              </w:rPr>
              <w:t>Coverage Termination</w:t>
            </w:r>
          </w:p>
        </w:tc>
        <w:tc>
          <w:tcPr>
            <w:tcW w:w="8007" w:type="dxa"/>
          </w:tcPr>
          <w:p w14:paraId="1819089B" w14:textId="77777777" w:rsidR="00140101" w:rsidRPr="00EF022C" w:rsidRDefault="00140101" w:rsidP="00140101">
            <w:pPr>
              <w:spacing w:before="120"/>
              <w:rPr>
                <w:rFonts w:ascii="Verdana" w:hAnsi="Verdana"/>
                <w:sz w:val="18"/>
                <w:szCs w:val="18"/>
              </w:rPr>
            </w:pPr>
            <w:r w:rsidRPr="00EF022C">
              <w:rPr>
                <w:rFonts w:ascii="Verdana" w:hAnsi="Verdana"/>
                <w:sz w:val="18"/>
                <w:szCs w:val="18"/>
              </w:rPr>
              <w:t>An employee’s coverage under the plan will end on the earliest of:</w:t>
            </w:r>
          </w:p>
          <w:p w14:paraId="136BD663" w14:textId="77777777" w:rsidR="00140101" w:rsidRPr="00EF022C" w:rsidRDefault="00140101" w:rsidP="009A58EF">
            <w:pPr>
              <w:pStyle w:val="ListParagraph"/>
              <w:numPr>
                <w:ilvl w:val="0"/>
                <w:numId w:val="12"/>
              </w:numPr>
              <w:spacing w:before="60"/>
              <w:rPr>
                <w:rFonts w:ascii="Verdana" w:hAnsi="Verdana"/>
                <w:sz w:val="18"/>
                <w:szCs w:val="18"/>
              </w:rPr>
            </w:pPr>
            <w:r w:rsidRPr="00EF022C">
              <w:rPr>
                <w:rFonts w:ascii="Verdana" w:hAnsi="Verdana"/>
                <w:sz w:val="18"/>
                <w:szCs w:val="18"/>
              </w:rPr>
              <w:t>the date the plan is cancelled;</w:t>
            </w:r>
          </w:p>
          <w:p w14:paraId="2B0C50A9" w14:textId="77777777" w:rsidR="00140101" w:rsidRPr="00EF022C" w:rsidRDefault="00140101" w:rsidP="009A58EF">
            <w:pPr>
              <w:pStyle w:val="ListParagraph"/>
              <w:numPr>
                <w:ilvl w:val="0"/>
                <w:numId w:val="12"/>
              </w:numPr>
              <w:rPr>
                <w:rFonts w:ascii="Verdana" w:hAnsi="Verdana"/>
                <w:sz w:val="18"/>
                <w:szCs w:val="18"/>
              </w:rPr>
            </w:pPr>
            <w:r w:rsidRPr="00EF022C">
              <w:rPr>
                <w:rFonts w:ascii="Verdana" w:hAnsi="Verdana"/>
                <w:sz w:val="18"/>
                <w:szCs w:val="18"/>
              </w:rPr>
              <w:t>the date the employee is no longer in an eligible group;</w:t>
            </w:r>
          </w:p>
          <w:p w14:paraId="127F1BD2" w14:textId="77777777" w:rsidR="00140101" w:rsidRPr="00EF022C" w:rsidRDefault="00140101" w:rsidP="009A58EF">
            <w:pPr>
              <w:pStyle w:val="ListParagraph"/>
              <w:numPr>
                <w:ilvl w:val="0"/>
                <w:numId w:val="12"/>
              </w:numPr>
              <w:rPr>
                <w:rFonts w:ascii="Verdana" w:hAnsi="Verdana"/>
                <w:sz w:val="18"/>
                <w:szCs w:val="18"/>
              </w:rPr>
            </w:pPr>
            <w:r w:rsidRPr="00EF022C">
              <w:rPr>
                <w:rFonts w:ascii="Verdana" w:hAnsi="Verdana"/>
                <w:sz w:val="18"/>
                <w:szCs w:val="18"/>
              </w:rPr>
              <w:t>the date the employee’s eligible group is no longer covered;</w:t>
            </w:r>
          </w:p>
          <w:p w14:paraId="315AF226" w14:textId="77777777" w:rsidR="00140101" w:rsidRPr="00EF022C" w:rsidRDefault="00140101" w:rsidP="009A58EF">
            <w:pPr>
              <w:pStyle w:val="ListParagraph"/>
              <w:numPr>
                <w:ilvl w:val="0"/>
                <w:numId w:val="12"/>
              </w:numPr>
              <w:rPr>
                <w:rFonts w:ascii="Verdana" w:hAnsi="Verdana"/>
                <w:sz w:val="18"/>
                <w:szCs w:val="18"/>
              </w:rPr>
            </w:pPr>
            <w:r w:rsidRPr="00EF022C">
              <w:rPr>
                <w:rFonts w:ascii="Verdana" w:hAnsi="Verdana"/>
                <w:sz w:val="18"/>
                <w:szCs w:val="18"/>
              </w:rPr>
              <w:t>the last day of the period for which the employee made any required contributions; or</w:t>
            </w:r>
          </w:p>
          <w:p w14:paraId="090871C0" w14:textId="77777777" w:rsidR="00140101" w:rsidRPr="00EF022C" w:rsidRDefault="00140101" w:rsidP="009A58EF">
            <w:pPr>
              <w:pStyle w:val="ListParagraph"/>
              <w:numPr>
                <w:ilvl w:val="0"/>
                <w:numId w:val="12"/>
              </w:numPr>
              <w:rPr>
                <w:rFonts w:ascii="Verdana" w:hAnsi="Verdana"/>
                <w:sz w:val="18"/>
                <w:szCs w:val="18"/>
              </w:rPr>
            </w:pPr>
            <w:r w:rsidRPr="00EF022C">
              <w:rPr>
                <w:rFonts w:ascii="Verdana" w:hAnsi="Verdana"/>
                <w:sz w:val="18"/>
                <w:szCs w:val="18"/>
              </w:rPr>
              <w:t>the last day the employee is in active employment, unless continued due to a covered layoff or leave of absence, as described in the contract.</w:t>
            </w:r>
          </w:p>
        </w:tc>
      </w:tr>
      <w:tr w:rsidR="00140101" w:rsidRPr="00D8528B" w14:paraId="5B4B3585" w14:textId="77777777" w:rsidTr="00140101">
        <w:trPr>
          <w:cantSplit/>
        </w:trPr>
        <w:tc>
          <w:tcPr>
            <w:tcW w:w="2798" w:type="dxa"/>
          </w:tcPr>
          <w:p w14:paraId="07BE8D55" w14:textId="77777777" w:rsidR="00140101" w:rsidRDefault="00140101" w:rsidP="00140101">
            <w:pPr>
              <w:spacing w:before="120"/>
              <w:rPr>
                <w:rFonts w:ascii="Verdana" w:hAnsi="Verdana"/>
                <w:b/>
                <w:bCs/>
                <w:color w:val="015191"/>
                <w:sz w:val="18"/>
                <w:szCs w:val="18"/>
              </w:rPr>
            </w:pPr>
            <w:bookmarkStart w:id="26" w:name="DefSTDResAND" w:colFirst="0" w:colLast="1"/>
            <w:r>
              <w:rPr>
                <w:rFonts w:ascii="Verdana" w:hAnsi="Verdana"/>
                <w:b/>
                <w:bCs/>
                <w:color w:val="015191"/>
                <w:sz w:val="18"/>
                <w:szCs w:val="18"/>
              </w:rPr>
              <w:t>Definition of Disability</w:t>
            </w:r>
          </w:p>
          <w:p w14:paraId="34409EF1" w14:textId="77777777" w:rsidR="00140101" w:rsidRPr="00F855F2" w:rsidRDefault="00140101" w:rsidP="00140101">
            <w:pPr>
              <w:spacing w:before="120"/>
              <w:rPr>
                <w:rFonts w:ascii="Verdana" w:hAnsi="Verdana"/>
                <w:i/>
                <w:iCs/>
                <w:color w:val="015191"/>
                <w:sz w:val="18"/>
                <w:szCs w:val="18"/>
              </w:rPr>
            </w:pPr>
            <w:r>
              <w:rPr>
                <w:rFonts w:ascii="Verdana" w:hAnsi="Verdana"/>
                <w:i/>
                <w:iCs/>
                <w:color w:val="015191"/>
                <w:sz w:val="18"/>
                <w:szCs w:val="18"/>
              </w:rPr>
              <w:t>Residual</w:t>
            </w:r>
          </w:p>
        </w:tc>
        <w:tc>
          <w:tcPr>
            <w:tcW w:w="8007" w:type="dxa"/>
          </w:tcPr>
          <w:p w14:paraId="2E1E4BB5" w14:textId="77777777" w:rsidR="00140101" w:rsidRPr="00905878" w:rsidRDefault="0054735C" w:rsidP="00140101">
            <w:pPr>
              <w:spacing w:before="120"/>
              <w:rPr>
                <w:rFonts w:ascii="Verdana" w:hAnsi="Verdana" w:cs="Arial"/>
                <w:sz w:val="18"/>
                <w:szCs w:val="18"/>
              </w:rPr>
            </w:pPr>
            <w:r w:rsidRPr="0054735C">
              <w:rPr>
                <w:rFonts w:ascii="Verdana" w:hAnsi="Verdana"/>
                <w:sz w:val="18"/>
                <w:szCs w:val="18"/>
              </w:rPr>
              <w:t>The insured is disabled when Unum determines that due to sickness or injury the insured is limited from performing the material and substantial duties of his/her regular occupation; and the insured has a 20% or more loss in weekly earnings due to the same sickness or injury.</w:t>
            </w:r>
          </w:p>
        </w:tc>
      </w:tr>
      <w:tr w:rsidR="00140101" w:rsidRPr="00D8528B" w14:paraId="7FB46936" w14:textId="77777777" w:rsidTr="00140101">
        <w:trPr>
          <w:cantSplit/>
        </w:trPr>
        <w:tc>
          <w:tcPr>
            <w:tcW w:w="2798" w:type="dxa"/>
          </w:tcPr>
          <w:p w14:paraId="36DD5F73" w14:textId="77777777" w:rsidR="00140101" w:rsidRPr="00EF022C" w:rsidRDefault="00140101" w:rsidP="00140101">
            <w:pPr>
              <w:spacing w:before="120"/>
              <w:rPr>
                <w:rFonts w:ascii="Verdana" w:hAnsi="Verdana"/>
                <w:b/>
                <w:bCs/>
                <w:color w:val="015191"/>
                <w:sz w:val="18"/>
                <w:szCs w:val="18"/>
              </w:rPr>
            </w:pPr>
            <w:bookmarkStart w:id="27" w:name="DefSTDEOI" w:colFirst="0" w:colLast="1"/>
            <w:bookmarkEnd w:id="26"/>
            <w:r>
              <w:rPr>
                <w:rFonts w:ascii="Verdana" w:hAnsi="Verdana"/>
                <w:b/>
                <w:bCs/>
                <w:color w:val="015191"/>
                <w:sz w:val="18"/>
                <w:szCs w:val="18"/>
              </w:rPr>
              <w:t>Evidence of Insurability</w:t>
            </w:r>
          </w:p>
        </w:tc>
        <w:tc>
          <w:tcPr>
            <w:tcW w:w="8007" w:type="dxa"/>
          </w:tcPr>
          <w:p w14:paraId="65A385F5" w14:textId="77777777" w:rsidR="00140101" w:rsidRPr="004B5A82" w:rsidRDefault="00140101" w:rsidP="00140101">
            <w:pPr>
              <w:spacing w:before="120"/>
              <w:rPr>
                <w:rFonts w:ascii="Verdana" w:hAnsi="Verdana"/>
                <w:sz w:val="18"/>
                <w:szCs w:val="18"/>
              </w:rPr>
            </w:pPr>
            <w:r w:rsidRPr="004B5A82">
              <w:rPr>
                <w:rFonts w:ascii="Verdana" w:hAnsi="Verdana"/>
                <w:sz w:val="18"/>
                <w:szCs w:val="18"/>
              </w:rPr>
              <w:t>Evidence of Insurability (E of I) is a statement of an individual’s medical history that is used to determine eligibility of coverage.  EOI may be required based on the following guidelines:</w:t>
            </w:r>
          </w:p>
          <w:p w14:paraId="4D56F746" w14:textId="77777777" w:rsidR="00140101" w:rsidRPr="004B5A82" w:rsidRDefault="00140101" w:rsidP="00140101">
            <w:pPr>
              <w:spacing w:before="120"/>
              <w:rPr>
                <w:rFonts w:ascii="Verdana" w:hAnsi="Verdana"/>
                <w:sz w:val="18"/>
                <w:szCs w:val="18"/>
              </w:rPr>
            </w:pPr>
            <w:r w:rsidRPr="004B5A82">
              <w:rPr>
                <w:rFonts w:ascii="Verdana" w:hAnsi="Verdana"/>
                <w:sz w:val="18"/>
                <w:szCs w:val="18"/>
                <w:u w:val="single"/>
              </w:rPr>
              <w:t>Initial Enrollment</w:t>
            </w:r>
            <w:r w:rsidRPr="004B5A82">
              <w:rPr>
                <w:rFonts w:ascii="Verdana" w:hAnsi="Verdana"/>
                <w:sz w:val="18"/>
                <w:szCs w:val="18"/>
              </w:rPr>
              <w:br/>
            </w:r>
            <w:bookmarkStart w:id="28" w:name="DefSTDEOIInitial"/>
            <w:r w:rsidRPr="004B5A82">
              <w:rPr>
                <w:rFonts w:ascii="Verdana" w:hAnsi="Verdana"/>
                <w:sz w:val="18"/>
                <w:szCs w:val="18"/>
              </w:rPr>
              <w:t>EOI is not required.</w:t>
            </w:r>
            <w:bookmarkEnd w:id="28"/>
          </w:p>
          <w:p w14:paraId="1C590828" w14:textId="77777777" w:rsidR="00140101" w:rsidRPr="004B5A82" w:rsidRDefault="00140101" w:rsidP="00140101">
            <w:pPr>
              <w:spacing w:before="120"/>
              <w:rPr>
                <w:rFonts w:ascii="Verdana" w:hAnsi="Verdana"/>
                <w:sz w:val="18"/>
                <w:szCs w:val="18"/>
              </w:rPr>
            </w:pPr>
            <w:r w:rsidRPr="004B5A82">
              <w:rPr>
                <w:rFonts w:ascii="Verdana" w:hAnsi="Verdana"/>
                <w:sz w:val="18"/>
                <w:szCs w:val="18"/>
                <w:u w:val="single"/>
              </w:rPr>
              <w:t>Newly Hired Employees</w:t>
            </w:r>
            <w:r w:rsidRPr="004B5A82">
              <w:rPr>
                <w:rFonts w:ascii="Verdana" w:hAnsi="Verdana"/>
                <w:sz w:val="18"/>
                <w:szCs w:val="18"/>
              </w:rPr>
              <w:br/>
            </w:r>
            <w:bookmarkStart w:id="29" w:name="DefSTDEOINewHire"/>
            <w:r w:rsidRPr="004B5A82">
              <w:rPr>
                <w:rFonts w:ascii="Verdana" w:hAnsi="Verdana"/>
                <w:sz w:val="18"/>
                <w:szCs w:val="18"/>
              </w:rPr>
              <w:t>EOI is not required.</w:t>
            </w:r>
            <w:bookmarkEnd w:id="29"/>
          </w:p>
          <w:p w14:paraId="1E9AA433" w14:textId="77777777" w:rsidR="00140101" w:rsidRPr="004B5A82" w:rsidRDefault="00140101" w:rsidP="00140101">
            <w:pPr>
              <w:spacing w:before="120"/>
              <w:rPr>
                <w:rFonts w:ascii="Verdana" w:hAnsi="Verdana"/>
                <w:sz w:val="18"/>
                <w:szCs w:val="18"/>
              </w:rPr>
            </w:pPr>
            <w:r w:rsidRPr="004B5A82">
              <w:rPr>
                <w:rFonts w:ascii="Verdana" w:hAnsi="Verdana"/>
                <w:sz w:val="18"/>
                <w:szCs w:val="18"/>
                <w:u w:val="single"/>
              </w:rPr>
              <w:t>Late Entrants</w:t>
            </w:r>
            <w:r w:rsidRPr="004B5A82">
              <w:rPr>
                <w:rFonts w:ascii="Verdana" w:hAnsi="Verdana"/>
                <w:sz w:val="18"/>
                <w:szCs w:val="18"/>
              </w:rPr>
              <w:br/>
            </w:r>
            <w:bookmarkStart w:id="30" w:name="DefSTDEOILate"/>
            <w:r w:rsidRPr="004B5A82">
              <w:rPr>
                <w:rFonts w:ascii="Verdana" w:hAnsi="Verdana"/>
                <w:sz w:val="18"/>
                <w:szCs w:val="18"/>
              </w:rPr>
              <w:t>Any elected amount requires EOI.</w:t>
            </w:r>
            <w:bookmarkEnd w:id="30"/>
          </w:p>
          <w:p w14:paraId="2D99FED0" w14:textId="77777777" w:rsidR="00140101" w:rsidRPr="004B5A82" w:rsidRDefault="00140101" w:rsidP="00140101">
            <w:pPr>
              <w:spacing w:before="120"/>
              <w:rPr>
                <w:rFonts w:ascii="Verdana" w:hAnsi="Verdana"/>
                <w:sz w:val="18"/>
                <w:szCs w:val="18"/>
              </w:rPr>
            </w:pPr>
            <w:r w:rsidRPr="004B5A82">
              <w:rPr>
                <w:rFonts w:ascii="Verdana" w:hAnsi="Verdana"/>
                <w:sz w:val="18"/>
                <w:szCs w:val="18"/>
                <w:u w:val="single"/>
              </w:rPr>
              <w:t>At Annual Enrollment or Change in Status</w:t>
            </w:r>
            <w:r w:rsidRPr="004B5A82">
              <w:rPr>
                <w:rFonts w:ascii="Verdana" w:hAnsi="Verdana"/>
                <w:sz w:val="18"/>
                <w:szCs w:val="18"/>
              </w:rPr>
              <w:br/>
            </w:r>
            <w:bookmarkStart w:id="31" w:name="DefSTDEOIAnnual"/>
            <w:r w:rsidRPr="004B5A82">
              <w:rPr>
                <w:rFonts w:ascii="Verdana" w:hAnsi="Verdana"/>
                <w:sz w:val="18"/>
                <w:szCs w:val="18"/>
              </w:rPr>
              <w:t>Employees who are not currently enrolled: Any elected amount requires EOI.</w:t>
            </w:r>
          </w:p>
          <w:p w14:paraId="07D13394" w14:textId="77777777" w:rsidR="00140101" w:rsidRPr="00EF022C" w:rsidRDefault="00140101" w:rsidP="00140101">
            <w:pPr>
              <w:spacing w:before="120"/>
              <w:rPr>
                <w:rFonts w:ascii="Verdana" w:hAnsi="Verdana"/>
                <w:sz w:val="18"/>
                <w:szCs w:val="18"/>
              </w:rPr>
            </w:pPr>
            <w:r w:rsidRPr="004B5A82">
              <w:rPr>
                <w:rFonts w:ascii="Verdana" w:hAnsi="Verdana"/>
                <w:sz w:val="18"/>
                <w:szCs w:val="18"/>
              </w:rPr>
              <w:t>Currently Enrolled Employees: if the plan design has a base and more than one buy-up option, an employee can only increase one level in any one year. The case Pre-Existing Condition Limitation applies to all employees electing a benefit increase.</w:t>
            </w:r>
            <w:bookmarkEnd w:id="31"/>
          </w:p>
        </w:tc>
      </w:tr>
      <w:bookmarkEnd w:id="27"/>
      <w:tr w:rsidR="00140101" w:rsidRPr="00D8528B" w14:paraId="18E190D3" w14:textId="77777777" w:rsidTr="00140101">
        <w:trPr>
          <w:cantSplit/>
        </w:trPr>
        <w:tc>
          <w:tcPr>
            <w:tcW w:w="2798" w:type="dxa"/>
            <w:hideMark/>
          </w:tcPr>
          <w:p w14:paraId="47354284" w14:textId="77777777" w:rsidR="00140101" w:rsidRPr="00EF022C" w:rsidRDefault="00140101" w:rsidP="00140101">
            <w:pPr>
              <w:spacing w:before="120"/>
              <w:rPr>
                <w:rFonts w:ascii="Verdana" w:hAnsi="Verdana"/>
                <w:b/>
                <w:bCs/>
                <w:color w:val="015191"/>
                <w:sz w:val="18"/>
                <w:szCs w:val="18"/>
              </w:rPr>
            </w:pPr>
            <w:r w:rsidRPr="00EF022C">
              <w:rPr>
                <w:rFonts w:ascii="Verdana" w:hAnsi="Verdana"/>
                <w:b/>
                <w:bCs/>
                <w:color w:val="015191"/>
                <w:sz w:val="18"/>
                <w:szCs w:val="18"/>
              </w:rPr>
              <w:lastRenderedPageBreak/>
              <w:t>Exclusions</w:t>
            </w:r>
          </w:p>
        </w:tc>
        <w:tc>
          <w:tcPr>
            <w:tcW w:w="8007" w:type="dxa"/>
            <w:hideMark/>
          </w:tcPr>
          <w:p w14:paraId="61458C35" w14:textId="77777777" w:rsidR="00506751" w:rsidRPr="00506751" w:rsidRDefault="00506751" w:rsidP="00506751">
            <w:pPr>
              <w:spacing w:before="120"/>
              <w:rPr>
                <w:rFonts w:ascii="Verdana" w:hAnsi="Verdana"/>
                <w:sz w:val="18"/>
                <w:szCs w:val="18"/>
              </w:rPr>
            </w:pPr>
            <w:r w:rsidRPr="00506751">
              <w:rPr>
                <w:rFonts w:ascii="Verdana" w:hAnsi="Verdana"/>
                <w:sz w:val="18"/>
                <w:szCs w:val="18"/>
              </w:rPr>
              <w:t>The Policy will contain the following exclusions:</w:t>
            </w:r>
          </w:p>
          <w:p w14:paraId="4420A751" w14:textId="77777777" w:rsidR="00506751" w:rsidRPr="00506751" w:rsidRDefault="00506751" w:rsidP="009A58EF">
            <w:pPr>
              <w:pStyle w:val="ListParagraph"/>
              <w:numPr>
                <w:ilvl w:val="0"/>
                <w:numId w:val="11"/>
              </w:numPr>
              <w:spacing w:before="60"/>
              <w:rPr>
                <w:rFonts w:ascii="Verdana" w:hAnsi="Verdana"/>
                <w:sz w:val="18"/>
                <w:szCs w:val="18"/>
              </w:rPr>
            </w:pPr>
            <w:r w:rsidRPr="00506751">
              <w:rPr>
                <w:rFonts w:ascii="Verdana" w:hAnsi="Verdana"/>
                <w:sz w:val="18"/>
                <w:szCs w:val="18"/>
              </w:rPr>
              <w:t>Intentionally self-inflicted injuries</w:t>
            </w:r>
          </w:p>
          <w:p w14:paraId="33BFB501" w14:textId="77777777" w:rsidR="00506751" w:rsidRPr="00506751" w:rsidRDefault="00506751" w:rsidP="009A58EF">
            <w:pPr>
              <w:pStyle w:val="ListParagraph"/>
              <w:numPr>
                <w:ilvl w:val="0"/>
                <w:numId w:val="11"/>
              </w:numPr>
              <w:rPr>
                <w:rFonts w:ascii="Verdana" w:hAnsi="Verdana"/>
                <w:sz w:val="18"/>
                <w:szCs w:val="18"/>
              </w:rPr>
            </w:pPr>
            <w:r w:rsidRPr="00506751">
              <w:rPr>
                <w:rFonts w:ascii="Verdana" w:hAnsi="Verdana"/>
                <w:sz w:val="18"/>
                <w:szCs w:val="18"/>
              </w:rPr>
              <w:t>Active participation in a riot</w:t>
            </w:r>
          </w:p>
          <w:p w14:paraId="5C8FB463" w14:textId="77777777" w:rsidR="00506751" w:rsidRPr="00506751" w:rsidRDefault="00506751" w:rsidP="009A58EF">
            <w:pPr>
              <w:pStyle w:val="ListParagraph"/>
              <w:numPr>
                <w:ilvl w:val="0"/>
                <w:numId w:val="11"/>
              </w:numPr>
              <w:rPr>
                <w:rFonts w:ascii="Verdana" w:hAnsi="Verdana"/>
                <w:sz w:val="18"/>
                <w:szCs w:val="18"/>
              </w:rPr>
            </w:pPr>
            <w:r w:rsidRPr="00506751">
              <w:rPr>
                <w:rFonts w:ascii="Verdana" w:hAnsi="Verdana"/>
                <w:sz w:val="18"/>
                <w:szCs w:val="18"/>
              </w:rPr>
              <w:t>Loss of professional or occupational license or certificate</w:t>
            </w:r>
          </w:p>
          <w:p w14:paraId="10082FAE" w14:textId="77777777" w:rsidR="00506751" w:rsidRPr="00506751" w:rsidRDefault="00506751" w:rsidP="009A58EF">
            <w:pPr>
              <w:pStyle w:val="ListParagraph"/>
              <w:numPr>
                <w:ilvl w:val="0"/>
                <w:numId w:val="11"/>
              </w:numPr>
              <w:rPr>
                <w:rFonts w:ascii="Verdana" w:hAnsi="Verdana"/>
                <w:sz w:val="18"/>
                <w:szCs w:val="18"/>
              </w:rPr>
            </w:pPr>
            <w:r w:rsidRPr="00506751">
              <w:rPr>
                <w:rFonts w:ascii="Verdana" w:hAnsi="Verdana"/>
                <w:sz w:val="18"/>
                <w:szCs w:val="18"/>
              </w:rPr>
              <w:t>Commission of a crime for which the individual has been convicted</w:t>
            </w:r>
          </w:p>
          <w:p w14:paraId="2519E767" w14:textId="77777777" w:rsidR="00506751" w:rsidRPr="00506751" w:rsidRDefault="00506751" w:rsidP="009A58EF">
            <w:pPr>
              <w:pStyle w:val="ListParagraph"/>
              <w:numPr>
                <w:ilvl w:val="0"/>
                <w:numId w:val="11"/>
              </w:numPr>
              <w:rPr>
                <w:rFonts w:ascii="Verdana" w:hAnsi="Verdana"/>
                <w:sz w:val="18"/>
                <w:szCs w:val="18"/>
              </w:rPr>
            </w:pPr>
            <w:r w:rsidRPr="00506751">
              <w:rPr>
                <w:rFonts w:ascii="Verdana" w:hAnsi="Verdana"/>
                <w:sz w:val="18"/>
                <w:szCs w:val="18"/>
              </w:rPr>
              <w:t xml:space="preserve">occupational sickness or injury (however, Unum will cover disabilities due to occupational sicknesses or injuries for partners or sole proprietors who cannot be covered by Workers' Compensation plans) </w:t>
            </w:r>
          </w:p>
          <w:p w14:paraId="6DCF0EF1" w14:textId="4BCAE208" w:rsidR="00506751" w:rsidRPr="00506751" w:rsidRDefault="00506751" w:rsidP="009A58EF">
            <w:pPr>
              <w:pStyle w:val="ListParagraph"/>
              <w:numPr>
                <w:ilvl w:val="0"/>
                <w:numId w:val="11"/>
              </w:numPr>
              <w:rPr>
                <w:rFonts w:ascii="Verdana" w:hAnsi="Verdana"/>
                <w:sz w:val="18"/>
                <w:szCs w:val="18"/>
              </w:rPr>
            </w:pPr>
            <w:bookmarkStart w:id="32" w:name="DefSTDPreExEx1"/>
            <w:r w:rsidRPr="00506751">
              <w:rPr>
                <w:rFonts w:ascii="Verdana" w:hAnsi="Verdana"/>
                <w:sz w:val="18"/>
                <w:szCs w:val="18"/>
              </w:rPr>
              <w:t>Pre-existing condition</w:t>
            </w:r>
          </w:p>
          <w:bookmarkEnd w:id="32"/>
          <w:p w14:paraId="3B7D1A0E" w14:textId="77777777" w:rsidR="00506751" w:rsidRPr="00506751" w:rsidRDefault="00506751" w:rsidP="009A58EF">
            <w:pPr>
              <w:pStyle w:val="ListParagraph"/>
              <w:numPr>
                <w:ilvl w:val="0"/>
                <w:numId w:val="11"/>
              </w:numPr>
              <w:rPr>
                <w:rFonts w:ascii="Verdana" w:hAnsi="Verdana"/>
                <w:sz w:val="18"/>
                <w:szCs w:val="18"/>
              </w:rPr>
            </w:pPr>
            <w:r w:rsidRPr="00506751">
              <w:rPr>
                <w:rFonts w:ascii="Verdana" w:hAnsi="Verdana"/>
                <w:sz w:val="18"/>
                <w:szCs w:val="18"/>
              </w:rPr>
              <w:t xml:space="preserve">War, declared or undeclared, or any act of war </w:t>
            </w:r>
          </w:p>
          <w:p w14:paraId="495D5125" w14:textId="77777777" w:rsidR="00140101" w:rsidRPr="00506751" w:rsidRDefault="00506751" w:rsidP="009A58EF">
            <w:pPr>
              <w:pStyle w:val="ListParagraph"/>
              <w:numPr>
                <w:ilvl w:val="0"/>
                <w:numId w:val="11"/>
              </w:numPr>
              <w:rPr>
                <w:rFonts w:ascii="Verdana" w:hAnsi="Verdana"/>
                <w:sz w:val="18"/>
                <w:szCs w:val="18"/>
              </w:rPr>
            </w:pPr>
            <w:r w:rsidRPr="00506751">
              <w:rPr>
                <w:rFonts w:ascii="Verdana" w:hAnsi="Verdana"/>
                <w:sz w:val="18"/>
                <w:szCs w:val="18"/>
              </w:rPr>
              <w:t>Any period of disability during which you are incarcerated</w:t>
            </w:r>
          </w:p>
          <w:p w14:paraId="1BFECBEA" w14:textId="77777777" w:rsidR="00506751" w:rsidRPr="00786D4C" w:rsidRDefault="00506751" w:rsidP="00786D4C">
            <w:pPr>
              <w:spacing w:line="80" w:lineRule="exact"/>
              <w:ind w:left="360"/>
              <w:rPr>
                <w:rFonts w:ascii="Verdana" w:hAnsi="Verdana"/>
                <w:sz w:val="8"/>
                <w:szCs w:val="8"/>
              </w:rPr>
            </w:pPr>
          </w:p>
        </w:tc>
      </w:tr>
      <w:tr w:rsidR="00140101" w:rsidRPr="00D8528B" w14:paraId="1C258B4D" w14:textId="77777777" w:rsidTr="00140101">
        <w:trPr>
          <w:cantSplit/>
        </w:trPr>
        <w:tc>
          <w:tcPr>
            <w:tcW w:w="2798" w:type="dxa"/>
          </w:tcPr>
          <w:p w14:paraId="2FEE2396" w14:textId="77777777" w:rsidR="00140101" w:rsidRPr="00EF022C" w:rsidRDefault="00140101" w:rsidP="00140101">
            <w:pPr>
              <w:spacing w:before="120"/>
              <w:rPr>
                <w:rFonts w:ascii="Verdana" w:hAnsi="Verdana"/>
                <w:b/>
                <w:bCs/>
                <w:color w:val="015191"/>
                <w:sz w:val="18"/>
                <w:szCs w:val="18"/>
              </w:rPr>
            </w:pPr>
            <w:r w:rsidRPr="00EF022C">
              <w:rPr>
                <w:rFonts w:ascii="Verdana" w:hAnsi="Verdana"/>
                <w:b/>
                <w:bCs/>
                <w:color w:val="015191"/>
                <w:sz w:val="18"/>
                <w:szCs w:val="18"/>
              </w:rPr>
              <w:t>General Information Regarding Taxability</w:t>
            </w:r>
          </w:p>
        </w:tc>
        <w:tc>
          <w:tcPr>
            <w:tcW w:w="8007" w:type="dxa"/>
          </w:tcPr>
          <w:p w14:paraId="5DD80496" w14:textId="77777777" w:rsidR="009E633C" w:rsidRPr="006D5334" w:rsidRDefault="009E633C" w:rsidP="009E633C">
            <w:pPr>
              <w:spacing w:before="120"/>
              <w:rPr>
                <w:rFonts w:ascii="Verdana" w:hAnsi="Verdana"/>
                <w:sz w:val="18"/>
                <w:szCs w:val="18"/>
              </w:rPr>
            </w:pPr>
            <w:r w:rsidRPr="006D5334">
              <w:rPr>
                <w:rFonts w:ascii="Verdana" w:hAnsi="Verdana"/>
                <w:sz w:val="18"/>
                <w:szCs w:val="18"/>
              </w:rPr>
              <w:t>In general, the STD weekly payment will be taxable if:</w:t>
            </w:r>
          </w:p>
          <w:p w14:paraId="4334D931" w14:textId="77777777" w:rsidR="009E633C" w:rsidRPr="006D5334" w:rsidRDefault="009E633C" w:rsidP="009A58EF">
            <w:pPr>
              <w:pStyle w:val="ListParagraph"/>
              <w:numPr>
                <w:ilvl w:val="0"/>
                <w:numId w:val="14"/>
              </w:numPr>
              <w:spacing w:before="60"/>
              <w:rPr>
                <w:rFonts w:ascii="Verdana" w:hAnsi="Verdana"/>
                <w:sz w:val="18"/>
                <w:szCs w:val="18"/>
              </w:rPr>
            </w:pPr>
            <w:r w:rsidRPr="006D5334">
              <w:rPr>
                <w:rFonts w:ascii="Verdana" w:hAnsi="Verdana"/>
                <w:sz w:val="18"/>
                <w:szCs w:val="18"/>
              </w:rPr>
              <w:t>The Employer pays the premiums and employees’ salaries are not grossed-up to include premiums as taxable income.</w:t>
            </w:r>
          </w:p>
          <w:p w14:paraId="5D7CF973" w14:textId="77777777" w:rsidR="009E633C" w:rsidRPr="006D5334" w:rsidRDefault="009E633C" w:rsidP="009A58EF">
            <w:pPr>
              <w:pStyle w:val="ListParagraph"/>
              <w:numPr>
                <w:ilvl w:val="0"/>
                <w:numId w:val="14"/>
              </w:numPr>
              <w:rPr>
                <w:rFonts w:ascii="Verdana" w:hAnsi="Verdana"/>
                <w:sz w:val="18"/>
                <w:szCs w:val="18"/>
              </w:rPr>
            </w:pPr>
            <w:r w:rsidRPr="006D5334">
              <w:rPr>
                <w:rFonts w:ascii="Verdana" w:hAnsi="Verdana"/>
                <w:sz w:val="18"/>
                <w:szCs w:val="18"/>
              </w:rPr>
              <w:t>The Employees pay premiums with pre-tax dollars.</w:t>
            </w:r>
          </w:p>
          <w:p w14:paraId="1E7AAA04" w14:textId="77777777" w:rsidR="009E633C" w:rsidRPr="006D5334" w:rsidRDefault="009E633C" w:rsidP="009A58EF">
            <w:pPr>
              <w:pStyle w:val="ListParagraph"/>
              <w:numPr>
                <w:ilvl w:val="0"/>
                <w:numId w:val="14"/>
              </w:numPr>
              <w:rPr>
                <w:rFonts w:ascii="Verdana" w:hAnsi="Verdana"/>
                <w:sz w:val="18"/>
                <w:szCs w:val="18"/>
              </w:rPr>
            </w:pPr>
            <w:r w:rsidRPr="006D5334">
              <w:rPr>
                <w:rFonts w:ascii="Verdana" w:hAnsi="Verdana"/>
                <w:sz w:val="18"/>
                <w:szCs w:val="18"/>
              </w:rPr>
              <w:t>Employees share payments of premiums with the employer, a portion of the benefits will be taxed.</w:t>
            </w:r>
          </w:p>
          <w:p w14:paraId="62D90AE2" w14:textId="77777777" w:rsidR="009E633C" w:rsidRPr="006D5334" w:rsidRDefault="009E633C" w:rsidP="009E633C">
            <w:pPr>
              <w:spacing w:before="120"/>
              <w:rPr>
                <w:rFonts w:ascii="Verdana" w:hAnsi="Verdana"/>
                <w:sz w:val="18"/>
                <w:szCs w:val="18"/>
              </w:rPr>
            </w:pPr>
            <w:r w:rsidRPr="006D5334">
              <w:rPr>
                <w:rFonts w:ascii="Verdana" w:hAnsi="Verdana"/>
                <w:sz w:val="18"/>
                <w:szCs w:val="18"/>
              </w:rPr>
              <w:t>In general, the STD weekly payment will not be taxable if:</w:t>
            </w:r>
          </w:p>
          <w:p w14:paraId="3B83591E" w14:textId="77777777" w:rsidR="009E633C" w:rsidRPr="006D5334" w:rsidRDefault="009E633C" w:rsidP="009A58EF">
            <w:pPr>
              <w:pStyle w:val="ListParagraph"/>
              <w:numPr>
                <w:ilvl w:val="0"/>
                <w:numId w:val="15"/>
              </w:numPr>
              <w:spacing w:before="60"/>
              <w:rPr>
                <w:rFonts w:ascii="Verdana" w:hAnsi="Verdana"/>
                <w:sz w:val="18"/>
                <w:szCs w:val="18"/>
              </w:rPr>
            </w:pPr>
            <w:r w:rsidRPr="006D5334">
              <w:rPr>
                <w:rFonts w:ascii="Verdana" w:hAnsi="Verdana"/>
                <w:sz w:val="18"/>
                <w:szCs w:val="18"/>
              </w:rPr>
              <w:t>Employees pay premiums with post-tax dollars.</w:t>
            </w:r>
          </w:p>
          <w:p w14:paraId="38FEA5A5" w14:textId="77777777" w:rsidR="00140101" w:rsidRPr="009E633C" w:rsidRDefault="009E633C" w:rsidP="009A58EF">
            <w:pPr>
              <w:pStyle w:val="ListParagraph"/>
              <w:numPr>
                <w:ilvl w:val="0"/>
                <w:numId w:val="15"/>
              </w:numPr>
              <w:spacing w:before="120"/>
              <w:rPr>
                <w:rFonts w:ascii="Verdana" w:hAnsi="Verdana"/>
                <w:sz w:val="18"/>
                <w:szCs w:val="18"/>
              </w:rPr>
            </w:pPr>
            <w:r w:rsidRPr="009E633C">
              <w:rPr>
                <w:rFonts w:ascii="Verdana" w:hAnsi="Verdana"/>
                <w:sz w:val="18"/>
                <w:szCs w:val="18"/>
              </w:rPr>
              <w:t>The Employer pays the premiums and employees’ salaries are grossed-up to include premiums as taxable income.</w:t>
            </w:r>
          </w:p>
        </w:tc>
      </w:tr>
      <w:tr w:rsidR="00122342" w:rsidRPr="00D8528B" w14:paraId="226C5526" w14:textId="77777777" w:rsidTr="00140101">
        <w:trPr>
          <w:cantSplit/>
        </w:trPr>
        <w:tc>
          <w:tcPr>
            <w:tcW w:w="2798" w:type="dxa"/>
          </w:tcPr>
          <w:p w14:paraId="675DD313" w14:textId="77777777" w:rsidR="00122342" w:rsidRPr="00EF022C" w:rsidRDefault="00122342" w:rsidP="00AE2FDB">
            <w:pPr>
              <w:spacing w:before="120"/>
              <w:rPr>
                <w:rFonts w:ascii="Verdana" w:hAnsi="Verdana"/>
                <w:b/>
                <w:bCs/>
                <w:color w:val="015191"/>
                <w:sz w:val="18"/>
                <w:szCs w:val="18"/>
              </w:rPr>
            </w:pPr>
            <w:bookmarkStart w:id="33" w:name="DefSTDOffsets" w:colFirst="0" w:colLast="1"/>
            <w:r>
              <w:rPr>
                <w:rFonts w:ascii="Verdana" w:hAnsi="Verdana"/>
                <w:b/>
                <w:bCs/>
                <w:color w:val="015191"/>
                <w:sz w:val="18"/>
                <w:szCs w:val="18"/>
              </w:rPr>
              <w:t>Offsets</w:t>
            </w:r>
          </w:p>
        </w:tc>
        <w:tc>
          <w:tcPr>
            <w:tcW w:w="8007" w:type="dxa"/>
          </w:tcPr>
          <w:p w14:paraId="15777265" w14:textId="77777777" w:rsidR="00122342" w:rsidRDefault="00122342" w:rsidP="00140101">
            <w:pPr>
              <w:spacing w:before="120"/>
              <w:rPr>
                <w:rFonts w:ascii="Verdana" w:hAnsi="Verdana"/>
                <w:sz w:val="18"/>
                <w:szCs w:val="18"/>
              </w:rPr>
            </w:pPr>
            <w:r>
              <w:rPr>
                <w:rFonts w:ascii="Verdana" w:hAnsi="Verdana"/>
                <w:sz w:val="18"/>
                <w:szCs w:val="18"/>
              </w:rPr>
              <w:t>To avoid over-insurance (e.g., individuals receiving more money being out of work than they receive while working), we subtract certain types of income from the disability benefit payment.  Deductible sources of income (also referred to as "offsets" or "integration of benefits") means income from deductible sources listed in the contract which an employee receives or is entitled to receive while disabled.  This income is subtracted from the gross disability payment.</w:t>
            </w:r>
          </w:p>
        </w:tc>
      </w:tr>
      <w:tr w:rsidR="00140101" w:rsidRPr="00D8528B" w14:paraId="13D49EBC" w14:textId="77777777" w:rsidTr="00140101">
        <w:trPr>
          <w:cantSplit/>
        </w:trPr>
        <w:tc>
          <w:tcPr>
            <w:tcW w:w="2798" w:type="dxa"/>
            <w:hideMark/>
          </w:tcPr>
          <w:p w14:paraId="72C61E9D" w14:textId="77777777" w:rsidR="00140101" w:rsidRDefault="00140101" w:rsidP="00140101">
            <w:pPr>
              <w:spacing w:before="120"/>
              <w:rPr>
                <w:rFonts w:ascii="Verdana" w:hAnsi="Verdana"/>
                <w:b/>
                <w:bCs/>
                <w:color w:val="015191"/>
                <w:sz w:val="18"/>
                <w:szCs w:val="18"/>
              </w:rPr>
            </w:pPr>
            <w:bookmarkStart w:id="34" w:name="DefSTDPreEx312" w:colFirst="0" w:colLast="1"/>
            <w:bookmarkStart w:id="35" w:name="DefSTDPreExAll" w:colFirst="0" w:colLast="1"/>
            <w:bookmarkEnd w:id="33"/>
            <w:r w:rsidRPr="00EF022C">
              <w:rPr>
                <w:rFonts w:ascii="Verdana" w:hAnsi="Verdana"/>
                <w:b/>
                <w:bCs/>
                <w:color w:val="015191"/>
                <w:sz w:val="18"/>
                <w:szCs w:val="18"/>
              </w:rPr>
              <w:t>Pre-Existing Condition</w:t>
            </w:r>
          </w:p>
          <w:p w14:paraId="359167B2" w14:textId="77777777" w:rsidR="00140101" w:rsidRPr="0048083F" w:rsidRDefault="00140101" w:rsidP="00140101">
            <w:pPr>
              <w:spacing w:before="120"/>
              <w:rPr>
                <w:rFonts w:ascii="Verdana" w:hAnsi="Verdana"/>
                <w:bCs/>
                <w:i/>
                <w:color w:val="015191"/>
                <w:sz w:val="18"/>
                <w:szCs w:val="18"/>
              </w:rPr>
            </w:pPr>
            <w:r>
              <w:rPr>
                <w:rFonts w:ascii="Verdana" w:hAnsi="Verdana"/>
                <w:bCs/>
                <w:i/>
                <w:color w:val="015191"/>
                <w:sz w:val="18"/>
                <w:szCs w:val="18"/>
              </w:rPr>
              <w:t>3/12</w:t>
            </w:r>
          </w:p>
        </w:tc>
        <w:tc>
          <w:tcPr>
            <w:tcW w:w="8007" w:type="dxa"/>
            <w:hideMark/>
          </w:tcPr>
          <w:p w14:paraId="2643D87B" w14:textId="77777777" w:rsidR="00140101" w:rsidRPr="00EF022C" w:rsidRDefault="00140101" w:rsidP="00140101">
            <w:pPr>
              <w:spacing w:before="120"/>
              <w:rPr>
                <w:rFonts w:ascii="Verdana" w:hAnsi="Verdana"/>
                <w:sz w:val="18"/>
                <w:szCs w:val="18"/>
              </w:rPr>
            </w:pPr>
            <w:r w:rsidRPr="00EF022C">
              <w:rPr>
                <w:rFonts w:ascii="Verdana" w:hAnsi="Verdana"/>
                <w:sz w:val="18"/>
                <w:szCs w:val="18"/>
              </w:rPr>
              <w:t>Conditions that existed within 3 months prior to the insured's effective date will not be covered if disability begins during the first 12 months of coverage.</w:t>
            </w:r>
          </w:p>
        </w:tc>
      </w:tr>
      <w:bookmarkEnd w:id="34"/>
      <w:bookmarkEnd w:id="35"/>
    </w:tbl>
    <w:p w14:paraId="76967B5A" w14:textId="77777777" w:rsidR="00140101" w:rsidRPr="00B25D41" w:rsidRDefault="00140101" w:rsidP="00140101">
      <w:pPr>
        <w:keepNext/>
        <w:spacing w:after="0" w:line="200" w:lineRule="exact"/>
        <w:rPr>
          <w:rFonts w:ascii="Verdana" w:eastAsia="Times New Roman" w:hAnsi="Verdana" w:cs="Times New Roman"/>
          <w:b/>
          <w:bCs/>
          <w:sz w:val="20"/>
          <w:szCs w:val="20"/>
        </w:rPr>
      </w:pPr>
    </w:p>
    <w:p w14:paraId="06072B4D" w14:textId="77777777" w:rsidR="00140101" w:rsidRPr="00C72FCA" w:rsidRDefault="00140101" w:rsidP="00140101">
      <w:pPr>
        <w:keepNext/>
        <w:spacing w:before="240" w:after="0" w:line="240" w:lineRule="auto"/>
        <w:rPr>
          <w:rFonts w:ascii="Verdana" w:eastAsia="Times New Roman" w:hAnsi="Verdana" w:cs="Times New Roman"/>
          <w:b/>
          <w:bCs/>
          <w:sz w:val="24"/>
          <w:szCs w:val="24"/>
        </w:rPr>
        <w:sectPr w:rsidR="00140101" w:rsidRPr="00C72FCA" w:rsidSect="006F7A7E">
          <w:headerReference w:type="default" r:id="rId19"/>
          <w:footerReference w:type="default" r:id="rId20"/>
          <w:pgSz w:w="12240" w:h="15840"/>
          <w:pgMar w:top="1440" w:right="720" w:bottom="1440" w:left="720" w:header="720" w:footer="720" w:gutter="0"/>
          <w:cols w:space="720"/>
          <w:docGrid w:linePitch="360"/>
        </w:sect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8"/>
        <w:gridCol w:w="8007"/>
      </w:tblGrid>
      <w:tr w:rsidR="00C93623" w:rsidRPr="007F00A5" w14:paraId="1B4F7106" w14:textId="77777777" w:rsidTr="00C93623">
        <w:trPr>
          <w:cantSplit/>
        </w:trPr>
        <w:tc>
          <w:tcPr>
            <w:tcW w:w="2798" w:type="dxa"/>
          </w:tcPr>
          <w:p w14:paraId="7666ED3E" w14:textId="77777777" w:rsidR="00C93623" w:rsidRDefault="00C93623" w:rsidP="00C93623">
            <w:pPr>
              <w:spacing w:before="120"/>
              <w:rPr>
                <w:rFonts w:ascii="Verdana" w:hAnsi="Verdana"/>
                <w:b/>
                <w:bCs/>
                <w:color w:val="015191"/>
                <w:sz w:val="18"/>
                <w:szCs w:val="18"/>
              </w:rPr>
            </w:pPr>
            <w:bookmarkStart w:id="36" w:name="DefinitionsGeneral"/>
            <w:bookmarkEnd w:id="5"/>
            <w:bookmarkEnd w:id="19"/>
            <w:r>
              <w:rPr>
                <w:rFonts w:ascii="Verdana" w:hAnsi="Verdana"/>
                <w:b/>
                <w:bCs/>
                <w:color w:val="015191"/>
                <w:sz w:val="18"/>
                <w:szCs w:val="18"/>
              </w:rPr>
              <w:lastRenderedPageBreak/>
              <w:t>About this Proposal</w:t>
            </w:r>
          </w:p>
        </w:tc>
        <w:tc>
          <w:tcPr>
            <w:tcW w:w="8007" w:type="dxa"/>
          </w:tcPr>
          <w:p w14:paraId="65A848E6" w14:textId="77777777" w:rsidR="00814C93" w:rsidRDefault="00814C93" w:rsidP="00814C93">
            <w:pPr>
              <w:spacing w:before="120"/>
              <w:rPr>
                <w:rFonts w:ascii="Verdana" w:eastAsia="Times New Roman" w:hAnsi="Verdana" w:cs="Times New Roman"/>
                <w:sz w:val="18"/>
                <w:szCs w:val="18"/>
              </w:rPr>
            </w:pPr>
            <w:bookmarkStart w:id="37" w:name="DefGeneralAboutAll"/>
            <w:r>
              <w:rPr>
                <w:rFonts w:ascii="Verdana" w:eastAsia="Times New Roman" w:hAnsi="Verdana" w:cs="Times New Roman"/>
                <w:sz w:val="18"/>
                <w:szCs w:val="18"/>
              </w:rPr>
              <w:t xml:space="preserve">This proposal is under no circumstances a contract for the insurance coverage described within. It is common for contract language to vary by provider. If this </w:t>
            </w:r>
            <w:r w:rsidRPr="00A87A07">
              <w:rPr>
                <w:rFonts w:ascii="Verdana" w:eastAsia="Times New Roman" w:hAnsi="Verdana" w:cs="Times New Roman"/>
                <w:sz w:val="18"/>
                <w:szCs w:val="18"/>
              </w:rPr>
              <w:t>proposal is accepted, a contract detailing the terms of coverage will be issued with the intention to match in force provisions using Unum’s standard filed and approved contract language.  This proposal is based on the underwriting data received by Unum. Final Premium rates, plan design and rate guarantees</w:t>
            </w:r>
            <w:r>
              <w:rPr>
                <w:rFonts w:ascii="Verdana" w:eastAsia="Times New Roman" w:hAnsi="Verdana" w:cs="Times New Roman"/>
                <w:sz w:val="18"/>
                <w:szCs w:val="18"/>
              </w:rPr>
              <w:t xml:space="preserve"> may change if:</w:t>
            </w:r>
          </w:p>
          <w:p w14:paraId="0401969F" w14:textId="77777777" w:rsidR="00814C93" w:rsidRDefault="00814C93" w:rsidP="009A58EF">
            <w:pPr>
              <w:pStyle w:val="ListParagraph"/>
              <w:numPr>
                <w:ilvl w:val="0"/>
                <w:numId w:val="17"/>
              </w:numPr>
              <w:spacing w:before="120"/>
              <w:ind w:left="936"/>
              <w:rPr>
                <w:rFonts w:ascii="Verdana" w:eastAsia="Times New Roman" w:hAnsi="Verdana" w:cs="Times New Roman"/>
                <w:sz w:val="18"/>
                <w:szCs w:val="18"/>
              </w:rPr>
            </w:pPr>
            <w:r>
              <w:rPr>
                <w:rFonts w:ascii="Verdana" w:eastAsia="Times New Roman" w:hAnsi="Verdana" w:cs="Times New Roman"/>
                <w:sz w:val="18"/>
                <w:szCs w:val="18"/>
              </w:rPr>
              <w:t>The terms of the proposal change;</w:t>
            </w:r>
          </w:p>
          <w:p w14:paraId="4BFBF6ED" w14:textId="77777777" w:rsidR="00814C93" w:rsidRDefault="00814C93" w:rsidP="009A58EF">
            <w:pPr>
              <w:pStyle w:val="ListParagraph"/>
              <w:numPr>
                <w:ilvl w:val="0"/>
                <w:numId w:val="17"/>
              </w:numPr>
              <w:rPr>
                <w:rFonts w:ascii="Verdana" w:eastAsia="Times New Roman" w:hAnsi="Verdana" w:cs="Times New Roman"/>
                <w:sz w:val="18"/>
                <w:szCs w:val="18"/>
              </w:rPr>
            </w:pPr>
            <w:r>
              <w:rPr>
                <w:rFonts w:ascii="Verdana" w:eastAsia="Times New Roman" w:hAnsi="Verdana" w:cs="Times New Roman"/>
                <w:sz w:val="18"/>
                <w:szCs w:val="18"/>
              </w:rPr>
              <w:t>There is a change in the factors bearing on risk;</w:t>
            </w:r>
          </w:p>
          <w:p w14:paraId="1C3CBF89" w14:textId="77777777" w:rsidR="00814C93" w:rsidRDefault="00814C93" w:rsidP="009A58EF">
            <w:pPr>
              <w:pStyle w:val="ListParagraph"/>
              <w:numPr>
                <w:ilvl w:val="0"/>
                <w:numId w:val="17"/>
              </w:numPr>
              <w:rPr>
                <w:rFonts w:ascii="Verdana" w:eastAsia="Times New Roman" w:hAnsi="Verdana" w:cs="Times New Roman"/>
                <w:sz w:val="18"/>
                <w:szCs w:val="18"/>
              </w:rPr>
            </w:pPr>
            <w:r>
              <w:rPr>
                <w:rFonts w:ascii="Verdana" w:eastAsia="Times New Roman" w:hAnsi="Verdana" w:cs="Times New Roman"/>
                <w:sz w:val="18"/>
                <w:szCs w:val="18"/>
              </w:rPr>
              <w:t>Underwriting data provided to us was incorrect; or</w:t>
            </w:r>
          </w:p>
          <w:p w14:paraId="618CB1A6" w14:textId="77777777" w:rsidR="00814C93" w:rsidRDefault="00814C93" w:rsidP="009A58EF">
            <w:pPr>
              <w:pStyle w:val="ListParagraph"/>
              <w:numPr>
                <w:ilvl w:val="0"/>
                <w:numId w:val="17"/>
              </w:numPr>
              <w:rPr>
                <w:rFonts w:ascii="Verdana" w:eastAsia="Times New Roman" w:hAnsi="Verdana" w:cs="Times New Roman"/>
                <w:sz w:val="18"/>
                <w:szCs w:val="18"/>
              </w:rPr>
            </w:pPr>
            <w:r>
              <w:rPr>
                <w:rFonts w:ascii="Verdana" w:eastAsia="Times New Roman" w:hAnsi="Verdana" w:cs="Times New Roman"/>
                <w:sz w:val="18"/>
                <w:szCs w:val="18"/>
              </w:rPr>
              <w:t>There is a change in the law or regulation affecting the insurance coverage.</w:t>
            </w:r>
          </w:p>
          <w:p w14:paraId="6D882710" w14:textId="77777777" w:rsidR="00406210" w:rsidRPr="00985C5B" w:rsidRDefault="00814C93" w:rsidP="005F7C97">
            <w:pPr>
              <w:spacing w:before="120"/>
              <w:rPr>
                <w:rFonts w:ascii="Verdana" w:hAnsi="Verdana"/>
                <w:sz w:val="18"/>
                <w:szCs w:val="18"/>
              </w:rPr>
            </w:pPr>
            <w:r>
              <w:rPr>
                <w:rFonts w:ascii="Verdana" w:eastAsia="Times New Roman" w:hAnsi="Verdana" w:cs="Times New Roman"/>
                <w:sz w:val="18"/>
                <w:szCs w:val="18"/>
              </w:rPr>
              <w:t>The quote assumes coverage of employees who are in active employment in the United States with the employer.  Please contact your Unum representative to request a quote for coverage of any employees who do not fit this category.</w:t>
            </w:r>
            <w:bookmarkEnd w:id="37"/>
          </w:p>
        </w:tc>
      </w:tr>
      <w:tr w:rsidR="00C93623" w:rsidRPr="007F00A5" w14:paraId="00E10C45" w14:textId="77777777" w:rsidTr="00C93623">
        <w:trPr>
          <w:cantSplit/>
        </w:trPr>
        <w:tc>
          <w:tcPr>
            <w:tcW w:w="2798" w:type="dxa"/>
          </w:tcPr>
          <w:p w14:paraId="51AFAF59" w14:textId="77777777" w:rsidR="00C93623" w:rsidRDefault="0098609C" w:rsidP="00C93623">
            <w:pPr>
              <w:spacing w:before="120"/>
              <w:rPr>
                <w:rFonts w:ascii="Verdana" w:hAnsi="Verdana"/>
                <w:b/>
                <w:bCs/>
                <w:color w:val="015191"/>
                <w:sz w:val="18"/>
                <w:szCs w:val="18"/>
              </w:rPr>
            </w:pPr>
            <w:bookmarkStart w:id="38" w:name="DefGeneralADAPlus" w:colFirst="0" w:colLast="1"/>
            <w:r>
              <w:rPr>
                <w:rFonts w:ascii="Verdana" w:hAnsi="Verdana"/>
                <w:b/>
                <w:bCs/>
                <w:color w:val="015191"/>
                <w:sz w:val="18"/>
                <w:szCs w:val="18"/>
              </w:rPr>
              <w:t xml:space="preserve">Claim &amp; Leave </w:t>
            </w:r>
            <w:proofErr w:type="spellStart"/>
            <w:r>
              <w:rPr>
                <w:rFonts w:ascii="Verdana" w:hAnsi="Verdana"/>
                <w:b/>
                <w:bCs/>
                <w:color w:val="015191"/>
                <w:sz w:val="18"/>
                <w:szCs w:val="18"/>
              </w:rPr>
              <w:t>In</w:t>
            </w:r>
            <w:r w:rsidR="003D479F">
              <w:rPr>
                <w:rFonts w:ascii="Verdana" w:hAnsi="Verdana"/>
                <w:b/>
                <w:bCs/>
                <w:color w:val="015191"/>
                <w:sz w:val="18"/>
                <w:szCs w:val="18"/>
              </w:rPr>
              <w:t>S</w:t>
            </w:r>
            <w:r>
              <w:rPr>
                <w:rFonts w:ascii="Verdana" w:hAnsi="Verdana"/>
                <w:b/>
                <w:bCs/>
                <w:color w:val="015191"/>
                <w:sz w:val="18"/>
                <w:szCs w:val="18"/>
              </w:rPr>
              <w:t>ight</w:t>
            </w:r>
            <w:proofErr w:type="spellEnd"/>
            <w:r>
              <w:rPr>
                <w:rFonts w:ascii="Verdana" w:hAnsi="Verdana"/>
                <w:b/>
                <w:bCs/>
                <w:color w:val="015191"/>
                <w:sz w:val="18"/>
                <w:szCs w:val="18"/>
              </w:rPr>
              <w:t xml:space="preserve"> (CLI)</w:t>
            </w:r>
          </w:p>
        </w:tc>
        <w:tc>
          <w:tcPr>
            <w:tcW w:w="8007" w:type="dxa"/>
          </w:tcPr>
          <w:p w14:paraId="5BE6BDB3" w14:textId="77777777" w:rsidR="00474673" w:rsidRDefault="00474673" w:rsidP="00474673">
            <w:pPr>
              <w:spacing w:before="120"/>
              <w:rPr>
                <w:rFonts w:ascii="Verdana" w:hAnsi="Verdana"/>
                <w:sz w:val="18"/>
                <w:szCs w:val="18"/>
              </w:rPr>
            </w:pPr>
            <w:r>
              <w:rPr>
                <w:rFonts w:ascii="Verdana" w:hAnsi="Verdana"/>
                <w:sz w:val="18"/>
                <w:szCs w:val="18"/>
              </w:rPr>
              <w:t xml:space="preserve">Claim &amp; Leave </w:t>
            </w:r>
            <w:proofErr w:type="spellStart"/>
            <w:r>
              <w:rPr>
                <w:rFonts w:ascii="Verdana" w:hAnsi="Verdana"/>
                <w:sz w:val="18"/>
                <w:szCs w:val="18"/>
              </w:rPr>
              <w:t>InSight</w:t>
            </w:r>
            <w:proofErr w:type="spellEnd"/>
            <w:r>
              <w:rPr>
                <w:rFonts w:ascii="Verdana" w:hAnsi="Verdana"/>
                <w:sz w:val="18"/>
                <w:szCs w:val="18"/>
              </w:rPr>
              <w:t xml:space="preserve"> (CLI) is Unum’s internal claim and leave reporting and analysis system. By combining the world's largest private disability database with powerful, Internet-based technology and statistical analysis, employers are able to measure, monitor and manage their lost time and benefit costs. Claim &amp; Leave </w:t>
            </w:r>
            <w:proofErr w:type="spellStart"/>
            <w:r>
              <w:rPr>
                <w:rFonts w:ascii="Verdana" w:hAnsi="Verdana"/>
                <w:sz w:val="18"/>
                <w:szCs w:val="18"/>
              </w:rPr>
              <w:t>InSight</w:t>
            </w:r>
            <w:proofErr w:type="spellEnd"/>
            <w:r>
              <w:rPr>
                <w:rFonts w:ascii="Verdana" w:hAnsi="Verdana"/>
                <w:sz w:val="18"/>
                <w:szCs w:val="18"/>
              </w:rPr>
              <w:t>:</w:t>
            </w:r>
          </w:p>
          <w:p w14:paraId="3E086A19" w14:textId="77777777" w:rsidR="00474673" w:rsidRDefault="00474673" w:rsidP="009A58EF">
            <w:pPr>
              <w:pStyle w:val="ListParagraph"/>
              <w:numPr>
                <w:ilvl w:val="0"/>
                <w:numId w:val="13"/>
              </w:numPr>
              <w:spacing w:before="60"/>
              <w:rPr>
                <w:rFonts w:ascii="Verdana" w:hAnsi="Verdana"/>
                <w:sz w:val="18"/>
                <w:szCs w:val="18"/>
              </w:rPr>
            </w:pPr>
            <w:r>
              <w:rPr>
                <w:rFonts w:ascii="Verdana" w:hAnsi="Verdana"/>
                <w:sz w:val="18"/>
                <w:szCs w:val="18"/>
              </w:rPr>
              <w:t>Is easily accessible via the iServices interface – only one logon is necessary</w:t>
            </w:r>
          </w:p>
          <w:p w14:paraId="63DB1467" w14:textId="77777777" w:rsidR="00474673" w:rsidRDefault="00474673" w:rsidP="009A58EF">
            <w:pPr>
              <w:pStyle w:val="ListParagraph"/>
              <w:numPr>
                <w:ilvl w:val="0"/>
                <w:numId w:val="13"/>
              </w:numPr>
              <w:rPr>
                <w:rFonts w:ascii="Verdana" w:hAnsi="Verdana"/>
                <w:sz w:val="18"/>
                <w:szCs w:val="18"/>
              </w:rPr>
            </w:pPr>
            <w:r>
              <w:rPr>
                <w:rFonts w:ascii="Verdana" w:hAnsi="Verdana"/>
                <w:sz w:val="18"/>
                <w:szCs w:val="18"/>
              </w:rPr>
              <w:t>Has a customizable dashboard for searching integrated claim and leave data, running reports, and tracking employee absence by date or location</w:t>
            </w:r>
          </w:p>
          <w:p w14:paraId="66AA8CA8" w14:textId="77777777" w:rsidR="00474673" w:rsidRDefault="00474673" w:rsidP="009A58EF">
            <w:pPr>
              <w:pStyle w:val="ListParagraph"/>
              <w:numPr>
                <w:ilvl w:val="0"/>
                <w:numId w:val="13"/>
              </w:numPr>
              <w:rPr>
                <w:rFonts w:ascii="Verdana" w:hAnsi="Verdana"/>
                <w:sz w:val="18"/>
                <w:szCs w:val="18"/>
              </w:rPr>
            </w:pPr>
            <w:r>
              <w:rPr>
                <w:rFonts w:ascii="Verdana" w:hAnsi="Verdana"/>
                <w:sz w:val="18"/>
                <w:szCs w:val="18"/>
              </w:rPr>
              <w:t>Contains more than 20 standard reports with real-time updates for some reports</w:t>
            </w:r>
          </w:p>
          <w:p w14:paraId="37E2EFAF" w14:textId="77777777" w:rsidR="00474673" w:rsidRDefault="00474673" w:rsidP="009A58EF">
            <w:pPr>
              <w:pStyle w:val="ListParagraph"/>
              <w:numPr>
                <w:ilvl w:val="0"/>
                <w:numId w:val="13"/>
              </w:numPr>
              <w:rPr>
                <w:rFonts w:ascii="Verdana" w:hAnsi="Verdana"/>
                <w:sz w:val="18"/>
                <w:szCs w:val="18"/>
              </w:rPr>
            </w:pPr>
            <w:r>
              <w:rPr>
                <w:rFonts w:ascii="Verdana" w:hAnsi="Verdana"/>
                <w:sz w:val="18"/>
                <w:szCs w:val="18"/>
              </w:rPr>
              <w:t>Allows the employer to manage the security of sensitive information by designating who has access and what level of access each user has to claim and leave data</w:t>
            </w:r>
          </w:p>
          <w:p w14:paraId="1811E092" w14:textId="77777777" w:rsidR="00C93623" w:rsidRPr="00985C5B" w:rsidRDefault="00474673" w:rsidP="00474673">
            <w:pPr>
              <w:spacing w:before="120"/>
              <w:rPr>
                <w:rFonts w:ascii="Verdana" w:hAnsi="Verdana"/>
                <w:sz w:val="18"/>
                <w:szCs w:val="18"/>
              </w:rPr>
            </w:pPr>
            <w:r>
              <w:rPr>
                <w:rFonts w:ascii="Verdana" w:hAnsi="Verdana"/>
                <w:sz w:val="18"/>
                <w:szCs w:val="18"/>
              </w:rPr>
              <w:t xml:space="preserve">Claim &amp; Leave </w:t>
            </w:r>
            <w:proofErr w:type="spellStart"/>
            <w:r>
              <w:rPr>
                <w:rFonts w:ascii="Verdana" w:hAnsi="Verdana"/>
                <w:sz w:val="18"/>
                <w:szCs w:val="18"/>
              </w:rPr>
              <w:t>InSight</w:t>
            </w:r>
            <w:proofErr w:type="spellEnd"/>
            <w:r>
              <w:rPr>
                <w:rFonts w:ascii="Verdana" w:hAnsi="Verdana"/>
                <w:sz w:val="18"/>
                <w:szCs w:val="18"/>
              </w:rPr>
              <w:t xml:space="preserve"> is available to customers of Leave Management Services, Classic Group STD, Classic Group LTD and Classic Group Life Insurance at no additional cost; CLI is not available on Benefit Advantage. </w:t>
            </w:r>
            <w:r w:rsidR="00213440">
              <w:rPr>
                <w:rFonts w:ascii="Verdana" w:hAnsi="Verdana"/>
                <w:sz w:val="18"/>
                <w:szCs w:val="18"/>
              </w:rPr>
              <w:t xml:space="preserve"> </w:t>
            </w:r>
            <w:r>
              <w:rPr>
                <w:rFonts w:ascii="Verdana" w:hAnsi="Verdana"/>
                <w:sz w:val="18"/>
                <w:szCs w:val="18"/>
              </w:rPr>
              <w:t>The standard case size is 100+ lives (CLI is available down to 2+ lives but reports are not meaningful below 100 lives).</w:t>
            </w:r>
          </w:p>
        </w:tc>
      </w:tr>
      <w:bookmarkEnd w:id="38"/>
    </w:tbl>
    <w:p w14:paraId="4A3EDDDC" w14:textId="77777777" w:rsidR="0057118F" w:rsidRPr="00816D0B" w:rsidRDefault="0057118F" w:rsidP="00955ADD">
      <w:pPr>
        <w:spacing w:before="120" w:after="0" w:line="240" w:lineRule="auto"/>
        <w:rPr>
          <w:rFonts w:ascii="Verdana" w:eastAsia="Times New Roman" w:hAnsi="Verdana" w:cs="Times New Roman"/>
          <w:sz w:val="18"/>
          <w:szCs w:val="18"/>
        </w:rPr>
      </w:pPr>
    </w:p>
    <w:p w14:paraId="68D21AFC" w14:textId="77777777" w:rsidR="00955ADD" w:rsidRDefault="00955ADD" w:rsidP="00955ADD">
      <w:pPr>
        <w:spacing w:before="120" w:after="0" w:line="200" w:lineRule="exact"/>
        <w:sectPr w:rsidR="00955ADD" w:rsidSect="006F7A7E">
          <w:headerReference w:type="default" r:id="rId21"/>
          <w:footerReference w:type="default" r:id="rId22"/>
          <w:pgSz w:w="12240" w:h="15840"/>
          <w:pgMar w:top="1440" w:right="720" w:bottom="1440" w:left="720" w:header="720" w:footer="720" w:gutter="0"/>
          <w:cols w:space="720"/>
          <w:docGrid w:linePitch="360"/>
        </w:sect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8"/>
        <w:gridCol w:w="8007"/>
      </w:tblGrid>
      <w:tr w:rsidR="004B5904" w:rsidRPr="00985C5B" w14:paraId="5AA355C0" w14:textId="77777777" w:rsidTr="007A1C9F">
        <w:trPr>
          <w:cantSplit/>
        </w:trPr>
        <w:tc>
          <w:tcPr>
            <w:tcW w:w="2798" w:type="dxa"/>
          </w:tcPr>
          <w:p w14:paraId="5F621C1F" w14:textId="77777777" w:rsidR="004B5904" w:rsidRDefault="004B5904" w:rsidP="00BC1B71">
            <w:pPr>
              <w:spacing w:before="120"/>
              <w:rPr>
                <w:rFonts w:ascii="Verdana" w:hAnsi="Verdana"/>
                <w:b/>
                <w:bCs/>
                <w:color w:val="015191"/>
                <w:sz w:val="18"/>
                <w:szCs w:val="18"/>
              </w:rPr>
            </w:pPr>
            <w:bookmarkStart w:id="39" w:name="Closing"/>
            <w:bookmarkEnd w:id="36"/>
            <w:r>
              <w:rPr>
                <w:rFonts w:ascii="Verdana" w:hAnsi="Verdana"/>
                <w:b/>
                <w:bCs/>
                <w:color w:val="015191"/>
                <w:sz w:val="18"/>
                <w:szCs w:val="18"/>
              </w:rPr>
              <w:lastRenderedPageBreak/>
              <w:t>In Closing</w:t>
            </w:r>
          </w:p>
        </w:tc>
        <w:tc>
          <w:tcPr>
            <w:tcW w:w="8007" w:type="dxa"/>
          </w:tcPr>
          <w:p w14:paraId="51DDC4A7" w14:textId="77777777" w:rsidR="004B5904" w:rsidRPr="00077ECB" w:rsidRDefault="004B5904" w:rsidP="004B5904">
            <w:pPr>
              <w:spacing w:before="120"/>
              <w:rPr>
                <w:rFonts w:ascii="Verdana" w:hAnsi="Verdana"/>
                <w:bCs/>
                <w:sz w:val="18"/>
                <w:szCs w:val="18"/>
              </w:rPr>
            </w:pPr>
            <w:r w:rsidRPr="00077ECB">
              <w:rPr>
                <w:rFonts w:ascii="Verdana" w:hAnsi="Verdana"/>
                <w:bCs/>
                <w:sz w:val="18"/>
                <w:szCs w:val="18"/>
              </w:rPr>
              <w:t>Thank you for the opportunity to provide your company with insurance protection. We are pleased to offer this proposal to you.</w:t>
            </w:r>
          </w:p>
          <w:p w14:paraId="43CE0A04" w14:textId="77777777" w:rsidR="004B5904" w:rsidRPr="00077ECB" w:rsidRDefault="004B5904" w:rsidP="004B5904">
            <w:pPr>
              <w:spacing w:before="120"/>
              <w:rPr>
                <w:rFonts w:ascii="Verdana" w:hAnsi="Verdana"/>
                <w:bCs/>
                <w:sz w:val="18"/>
                <w:szCs w:val="18"/>
              </w:rPr>
            </w:pPr>
            <w:r w:rsidRPr="00077ECB">
              <w:rPr>
                <w:rFonts w:ascii="Verdana" w:hAnsi="Verdana"/>
                <w:bCs/>
                <w:sz w:val="18"/>
                <w:szCs w:val="18"/>
              </w:rPr>
              <w:t>For decades, Unum has been the leading provider of group disability benefits in the U.S., providing crucial income when people can’t work because of injury or illness. Unum is also a leading provider of voluntary benefits in the country, offering a variety of valuable, affordable benefits that help protect the financial foundations of millions of U.S. workers.</w:t>
            </w:r>
          </w:p>
          <w:p w14:paraId="52632301" w14:textId="77777777" w:rsidR="004B5904" w:rsidRPr="00077ECB" w:rsidRDefault="004B5904" w:rsidP="004B5904">
            <w:pPr>
              <w:spacing w:before="120"/>
              <w:rPr>
                <w:rFonts w:ascii="Verdana" w:hAnsi="Verdana"/>
                <w:bCs/>
                <w:sz w:val="18"/>
                <w:szCs w:val="18"/>
              </w:rPr>
            </w:pPr>
            <w:r w:rsidRPr="00077ECB">
              <w:rPr>
                <w:rFonts w:ascii="Verdana" w:hAnsi="Verdana"/>
                <w:bCs/>
                <w:sz w:val="18"/>
                <w:szCs w:val="18"/>
              </w:rPr>
              <w:t>But our products and services are about more than just financial protection. We help businesses support a healthy, engaged workforce and find smart ways to attract and retain valuable employees. We help individuals protect their ability to earn a living and support them in their safe return to work.</w:t>
            </w:r>
          </w:p>
          <w:p w14:paraId="4042B840" w14:textId="77777777" w:rsidR="004B5904" w:rsidRPr="00985C5B" w:rsidRDefault="004B5904" w:rsidP="004B5904">
            <w:pPr>
              <w:spacing w:before="120"/>
              <w:rPr>
                <w:rFonts w:ascii="Verdana" w:hAnsi="Verdana"/>
                <w:sz w:val="18"/>
                <w:szCs w:val="18"/>
              </w:rPr>
            </w:pPr>
            <w:r w:rsidRPr="00077ECB">
              <w:rPr>
                <w:rFonts w:ascii="Verdana" w:hAnsi="Verdana"/>
                <w:bCs/>
                <w:sz w:val="18"/>
                <w:szCs w:val="18"/>
              </w:rPr>
              <w:t>With Unum at work, everyone benefits.</w:t>
            </w:r>
          </w:p>
        </w:tc>
      </w:tr>
      <w:tr w:rsidR="004E0521" w:rsidRPr="00985C5B" w14:paraId="0AA19E88" w14:textId="77777777" w:rsidTr="007A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98" w:type="dxa"/>
            <w:tcBorders>
              <w:top w:val="nil"/>
              <w:left w:val="nil"/>
              <w:bottom w:val="nil"/>
              <w:right w:val="nil"/>
            </w:tcBorders>
          </w:tcPr>
          <w:p w14:paraId="46719E18" w14:textId="77777777" w:rsidR="004E0521" w:rsidRDefault="004E0521" w:rsidP="00BC1B71">
            <w:pPr>
              <w:spacing w:before="120"/>
              <w:rPr>
                <w:rFonts w:ascii="Verdana" w:hAnsi="Verdana"/>
                <w:b/>
                <w:bCs/>
                <w:color w:val="015191"/>
                <w:sz w:val="18"/>
                <w:szCs w:val="18"/>
              </w:rPr>
            </w:pPr>
            <w:bookmarkStart w:id="40" w:name="CloseSaleNotNY" w:colFirst="0" w:colLast="1"/>
            <w:r>
              <w:rPr>
                <w:rFonts w:ascii="Verdana" w:hAnsi="Verdana"/>
                <w:b/>
                <w:bCs/>
                <w:color w:val="015191"/>
                <w:sz w:val="18"/>
                <w:szCs w:val="18"/>
              </w:rPr>
              <w:t>Important Information Concerning the Sale of these Benefits</w:t>
            </w:r>
          </w:p>
        </w:tc>
        <w:tc>
          <w:tcPr>
            <w:tcW w:w="8007" w:type="dxa"/>
            <w:tcBorders>
              <w:top w:val="nil"/>
              <w:left w:val="nil"/>
              <w:bottom w:val="nil"/>
              <w:right w:val="nil"/>
            </w:tcBorders>
          </w:tcPr>
          <w:p w14:paraId="0FCAE5C0" w14:textId="77777777" w:rsidR="004E0521" w:rsidRPr="00077ECB" w:rsidRDefault="004E0521" w:rsidP="004E0521">
            <w:pPr>
              <w:spacing w:before="120"/>
              <w:rPr>
                <w:rFonts w:ascii="Verdana" w:hAnsi="Verdana"/>
                <w:bCs/>
                <w:sz w:val="18"/>
                <w:szCs w:val="18"/>
              </w:rPr>
            </w:pPr>
            <w:r w:rsidRPr="00077ECB">
              <w:rPr>
                <w:rFonts w:ascii="Verdana" w:hAnsi="Verdana"/>
                <w:bCs/>
                <w:sz w:val="18"/>
                <w:szCs w:val="18"/>
              </w:rPr>
              <w:t>State laws require that insurance brokers be licensed and appointed with the applicable Unum Insurance subsidiary before engaging in the solicitation or sale of these benefits.  Note that Unum cannot accept this business if the broker is not properly licensed and appointed before soliciting this proposal.</w:t>
            </w:r>
          </w:p>
          <w:p w14:paraId="75DCA0DB" w14:textId="77777777" w:rsidR="004E0521" w:rsidRPr="00077ECB" w:rsidRDefault="004E0521" w:rsidP="004E0521">
            <w:pPr>
              <w:spacing w:before="120"/>
              <w:rPr>
                <w:rFonts w:ascii="Verdana" w:hAnsi="Verdana"/>
                <w:bCs/>
                <w:sz w:val="18"/>
                <w:szCs w:val="18"/>
              </w:rPr>
            </w:pPr>
            <w:r w:rsidRPr="00077ECB">
              <w:rPr>
                <w:rFonts w:ascii="Verdana" w:hAnsi="Verdana"/>
                <w:bCs/>
                <w:sz w:val="18"/>
                <w:szCs w:val="18"/>
              </w:rPr>
              <w:t>Unum is prepared to help ensure compliance with these state regulations.  Brokers who need to check their Unum appointment status should call the Broker Compensation Service Center at 800-633-7491 opt. 2.</w:t>
            </w:r>
          </w:p>
          <w:p w14:paraId="2C13F4E9" w14:textId="77777777" w:rsidR="004E0521" w:rsidRPr="00077ECB" w:rsidRDefault="004E0521" w:rsidP="004E0521">
            <w:pPr>
              <w:spacing w:before="120"/>
              <w:rPr>
                <w:rFonts w:ascii="Verdana" w:hAnsi="Verdana"/>
                <w:bCs/>
                <w:sz w:val="18"/>
                <w:szCs w:val="18"/>
              </w:rPr>
            </w:pPr>
            <w:r w:rsidRPr="00077ECB">
              <w:rPr>
                <w:rFonts w:ascii="Verdana" w:hAnsi="Verdana"/>
                <w:bCs/>
                <w:sz w:val="18"/>
                <w:szCs w:val="18"/>
              </w:rPr>
              <w:t>Life Planning is provided by Ceridian Incorporated. The services are subject to availability and may be withdrawn by Unum without prior notice.</w:t>
            </w:r>
          </w:p>
          <w:p w14:paraId="14A75228" w14:textId="77777777" w:rsidR="004E0521" w:rsidRPr="00077ECB" w:rsidRDefault="004E0521" w:rsidP="004E0521">
            <w:pPr>
              <w:spacing w:before="120"/>
              <w:rPr>
                <w:rFonts w:ascii="Verdana" w:hAnsi="Verdana"/>
                <w:bCs/>
                <w:sz w:val="18"/>
                <w:szCs w:val="18"/>
              </w:rPr>
            </w:pPr>
            <w:r w:rsidRPr="00077ECB">
              <w:rPr>
                <w:rFonts w:ascii="Verdana" w:hAnsi="Verdana"/>
                <w:bCs/>
                <w:sz w:val="18"/>
                <w:szCs w:val="18"/>
              </w:rPr>
              <w:t>This information is not intended to be a complete description of the insurance coverage available. The policy or its provisions may vary or be unavailable in some states. For complete details of coverage and availability, please refer to Policy Form C.FP-2 or contact your Unum representative.</w:t>
            </w:r>
          </w:p>
          <w:p w14:paraId="72079541" w14:textId="77777777" w:rsidR="004E0521" w:rsidRPr="00077ECB" w:rsidRDefault="004E0521" w:rsidP="004E0521">
            <w:pPr>
              <w:spacing w:before="120"/>
              <w:rPr>
                <w:rFonts w:ascii="Verdana" w:hAnsi="Verdana"/>
                <w:bCs/>
                <w:sz w:val="18"/>
                <w:szCs w:val="18"/>
              </w:rPr>
            </w:pPr>
            <w:r w:rsidRPr="00077ECB">
              <w:rPr>
                <w:rFonts w:ascii="Verdana" w:hAnsi="Verdana"/>
                <w:bCs/>
                <w:sz w:val="18"/>
                <w:szCs w:val="18"/>
              </w:rPr>
              <w:t>Unum is a registered trademark and marketing brand of Unum Group and its insuring subsidiaries</w:t>
            </w:r>
          </w:p>
          <w:p w14:paraId="27F5DED1" w14:textId="77777777" w:rsidR="004E0521" w:rsidRPr="00077ECB" w:rsidRDefault="004E0521" w:rsidP="004E0521">
            <w:pPr>
              <w:spacing w:before="120"/>
              <w:rPr>
                <w:rFonts w:ascii="Verdana" w:hAnsi="Verdana"/>
                <w:bCs/>
                <w:sz w:val="18"/>
                <w:szCs w:val="18"/>
              </w:rPr>
            </w:pPr>
            <w:r w:rsidRPr="00077ECB">
              <w:rPr>
                <w:rFonts w:ascii="Verdana" w:hAnsi="Verdana"/>
                <w:bCs/>
                <w:sz w:val="18"/>
                <w:szCs w:val="18"/>
              </w:rPr>
              <w:t>Underwritten by:</w:t>
            </w:r>
          </w:p>
          <w:p w14:paraId="1E71C9AD" w14:textId="77777777" w:rsidR="004E0521" w:rsidRPr="00A02A63" w:rsidRDefault="004E0521" w:rsidP="004E0521">
            <w:pPr>
              <w:ind w:left="260"/>
              <w:rPr>
                <w:rFonts w:ascii="Verdana" w:hAnsi="Verdana"/>
                <w:bCs/>
                <w:sz w:val="16"/>
                <w:szCs w:val="16"/>
              </w:rPr>
            </w:pPr>
            <w:r w:rsidRPr="00A02A63">
              <w:rPr>
                <w:rFonts w:ascii="Verdana" w:hAnsi="Verdana"/>
                <w:bCs/>
                <w:sz w:val="16"/>
                <w:szCs w:val="16"/>
              </w:rPr>
              <w:t>Unum Life Insurance Company of America</w:t>
            </w:r>
          </w:p>
          <w:p w14:paraId="0E52ABD8" w14:textId="77777777" w:rsidR="004E0521" w:rsidRPr="00A02A63" w:rsidRDefault="004E0521" w:rsidP="004E0521">
            <w:pPr>
              <w:ind w:left="260"/>
              <w:rPr>
                <w:rFonts w:ascii="Verdana" w:hAnsi="Verdana"/>
                <w:bCs/>
                <w:sz w:val="16"/>
                <w:szCs w:val="16"/>
              </w:rPr>
            </w:pPr>
            <w:r w:rsidRPr="00A02A63">
              <w:rPr>
                <w:rFonts w:ascii="Verdana" w:hAnsi="Verdana"/>
                <w:bCs/>
                <w:sz w:val="16"/>
                <w:szCs w:val="16"/>
              </w:rPr>
              <w:t>Portland, Maine 04122</w:t>
            </w:r>
          </w:p>
          <w:p w14:paraId="14974793" w14:textId="77777777" w:rsidR="004E0521" w:rsidRPr="00985C5B" w:rsidRDefault="004E0521" w:rsidP="004E0521">
            <w:pPr>
              <w:ind w:left="260"/>
              <w:rPr>
                <w:rFonts w:ascii="Verdana" w:hAnsi="Verdana"/>
                <w:sz w:val="18"/>
                <w:szCs w:val="18"/>
              </w:rPr>
            </w:pPr>
            <w:r w:rsidRPr="00A02A63">
              <w:rPr>
                <w:rFonts w:ascii="Verdana" w:hAnsi="Verdana"/>
                <w:bCs/>
                <w:sz w:val="16"/>
                <w:szCs w:val="16"/>
                <w:vertAlign w:val="superscript"/>
              </w:rPr>
              <w:t>©</w:t>
            </w:r>
            <w:r w:rsidRPr="00A02A63">
              <w:rPr>
                <w:rFonts w:ascii="Verdana" w:hAnsi="Verdana"/>
                <w:bCs/>
                <w:sz w:val="16"/>
                <w:szCs w:val="16"/>
              </w:rPr>
              <w:t xml:space="preserve"> 2009 Unum Group.  All rights reserved. </w:t>
            </w:r>
          </w:p>
        </w:tc>
      </w:tr>
      <w:bookmarkEnd w:id="40"/>
      <w:tr w:rsidR="007A1C9F" w:rsidRPr="00985C5B" w14:paraId="4B1AAAE9" w14:textId="77777777" w:rsidTr="007A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98" w:type="dxa"/>
            <w:tcBorders>
              <w:top w:val="nil"/>
              <w:left w:val="nil"/>
              <w:bottom w:val="nil"/>
              <w:right w:val="nil"/>
            </w:tcBorders>
          </w:tcPr>
          <w:p w14:paraId="1BBAEF1E" w14:textId="77777777" w:rsidR="007A1C9F" w:rsidRDefault="007A1C9F" w:rsidP="00BC1B71">
            <w:pPr>
              <w:spacing w:before="120"/>
              <w:rPr>
                <w:rFonts w:ascii="Verdana" w:hAnsi="Verdana"/>
                <w:b/>
                <w:bCs/>
                <w:color w:val="015191"/>
                <w:sz w:val="18"/>
                <w:szCs w:val="18"/>
              </w:rPr>
            </w:pPr>
            <w:r>
              <w:rPr>
                <w:rFonts w:ascii="Verdana" w:hAnsi="Verdana"/>
                <w:b/>
                <w:bCs/>
                <w:color w:val="015191"/>
                <w:sz w:val="18"/>
                <w:szCs w:val="18"/>
              </w:rPr>
              <w:t>Notice Regarding Broker Compensation</w:t>
            </w:r>
          </w:p>
        </w:tc>
        <w:tc>
          <w:tcPr>
            <w:tcW w:w="8007" w:type="dxa"/>
            <w:tcBorders>
              <w:top w:val="nil"/>
              <w:left w:val="nil"/>
              <w:bottom w:val="nil"/>
              <w:right w:val="nil"/>
            </w:tcBorders>
          </w:tcPr>
          <w:p w14:paraId="6D73FFE7" w14:textId="77777777" w:rsidR="007A1C9F" w:rsidRPr="00A02A63" w:rsidRDefault="007A1C9F" w:rsidP="007A1C9F">
            <w:pPr>
              <w:spacing w:before="120"/>
              <w:rPr>
                <w:rFonts w:ascii="Verdana" w:hAnsi="Verdana"/>
                <w:bCs/>
                <w:sz w:val="18"/>
                <w:szCs w:val="18"/>
              </w:rPr>
            </w:pPr>
            <w:r w:rsidRPr="00A02A63">
              <w:rPr>
                <w:rFonts w:ascii="Verdana" w:hAnsi="Verdana"/>
                <w:bCs/>
                <w:sz w:val="18"/>
                <w:szCs w:val="18"/>
              </w:rPr>
              <w:t>Your insurance or benefits advisor can offer you advice and guidance as you select the policy and provider most appropriate for your needs.  At Unum we recognize the important role these professionals play in the sale of our products and services and offer them a variety of compensation programs.  Your advisor can provide you with information about these programs as well as those available from other providers.  We support disclosure of broker compensation so that customers can make an informed buying decision.</w:t>
            </w:r>
          </w:p>
          <w:p w14:paraId="162D2EFE" w14:textId="77777777" w:rsidR="007A1C9F" w:rsidRPr="00A02A63" w:rsidRDefault="007A1C9F" w:rsidP="007A1C9F">
            <w:pPr>
              <w:spacing w:before="120"/>
              <w:rPr>
                <w:rFonts w:ascii="Verdana" w:hAnsi="Verdana"/>
                <w:bCs/>
                <w:sz w:val="18"/>
                <w:szCs w:val="18"/>
              </w:rPr>
            </w:pPr>
            <w:r w:rsidRPr="00A02A63">
              <w:rPr>
                <w:rFonts w:ascii="Verdana" w:hAnsi="Verdana"/>
                <w:bCs/>
                <w:sz w:val="18"/>
                <w:szCs w:val="18"/>
              </w:rPr>
              <w:t>Brokers may be eligible to receive Base Commissions and Supplemental Commissions from Unum.</w:t>
            </w:r>
          </w:p>
          <w:p w14:paraId="5E70734E" w14:textId="77777777" w:rsidR="007A1C9F" w:rsidRPr="00A02A63" w:rsidRDefault="007A1C9F" w:rsidP="007A1C9F">
            <w:pPr>
              <w:spacing w:before="120"/>
              <w:rPr>
                <w:rFonts w:ascii="Verdana" w:hAnsi="Verdana"/>
                <w:bCs/>
                <w:sz w:val="18"/>
                <w:szCs w:val="18"/>
              </w:rPr>
            </w:pPr>
            <w:r w:rsidRPr="00A02A63">
              <w:rPr>
                <w:rFonts w:ascii="Verdana" w:hAnsi="Verdana"/>
                <w:bCs/>
                <w:sz w:val="18"/>
                <w:szCs w:val="18"/>
              </w:rPr>
              <w:t>Unless you have agreed in writing to compensate the broker differently, Unum provides Base Commissions to all brokers in connection with the sale of an insurance policy.  Base Commissions are a fixed percentage of the policy premium, and include a one time, first year flat amount for each policy sold.  Base Commissions are paid by Unum to your broker as long as they remain the broker of record on your policy.</w:t>
            </w:r>
          </w:p>
          <w:p w14:paraId="1B04578C" w14:textId="77777777" w:rsidR="007A1C9F" w:rsidRPr="00A02A63" w:rsidRDefault="007A1C9F" w:rsidP="007A1C9F">
            <w:pPr>
              <w:spacing w:before="120"/>
              <w:rPr>
                <w:rFonts w:ascii="Verdana" w:hAnsi="Verdana"/>
                <w:bCs/>
                <w:sz w:val="18"/>
                <w:szCs w:val="18"/>
              </w:rPr>
            </w:pPr>
            <w:r w:rsidRPr="00A02A63">
              <w:rPr>
                <w:rFonts w:ascii="Verdana" w:hAnsi="Verdana"/>
                <w:bCs/>
                <w:sz w:val="18"/>
                <w:szCs w:val="18"/>
              </w:rPr>
              <w:t xml:space="preserve">A broker may also qualify for Supplemental Commissions paid by Unum.  For group insurance products, Supplemental Commissions may be paid in an amount equal to a fixed percentage of total group insurance premiums.  The Supplemental Commission percentage may range from 0% to 5% of total premiums paid.  The exact </w:t>
            </w:r>
            <w:r w:rsidRPr="00A02A63">
              <w:rPr>
                <w:rFonts w:ascii="Verdana" w:hAnsi="Verdana"/>
                <w:bCs/>
                <w:sz w:val="18"/>
                <w:szCs w:val="18"/>
              </w:rPr>
              <w:lastRenderedPageBreak/>
              <w:t>Supplemental Commission percentage payable to any broker is based upon the total dollar amount of all eligible insurance premiums or number of group policies that the broker had in force with Unum in the prior calendar year.  Supplemental Commissions may be calculated differently for other insurance products.  The premium you pay is not impacted whether or not your broker receives Supplemental Commissions.</w:t>
            </w:r>
          </w:p>
          <w:p w14:paraId="109F5208" w14:textId="77777777" w:rsidR="007A1C9F" w:rsidRPr="00985C5B" w:rsidRDefault="007A1C9F" w:rsidP="007A1C9F">
            <w:pPr>
              <w:spacing w:before="120"/>
              <w:rPr>
                <w:rFonts w:ascii="Verdana" w:hAnsi="Verdana"/>
                <w:sz w:val="18"/>
                <w:szCs w:val="18"/>
              </w:rPr>
            </w:pPr>
            <w:r w:rsidRPr="00A02A63">
              <w:rPr>
                <w:rFonts w:ascii="Verdana" w:hAnsi="Verdana"/>
                <w:bCs/>
                <w:sz w:val="18"/>
                <w:szCs w:val="18"/>
              </w:rPr>
              <w:t>If you would like additional information about the range of compensation programs our company offers for your group insurance policy or any other Unum insurance product, you can find more details at www.unum.com.  Should you have other questions not addressed by the website, including the Supplemental Commission percentage applicable to your broker, or if you want to speak to us directly about broker compensation, please call 1-800-633-7491</w:t>
            </w:r>
          </w:p>
        </w:tc>
      </w:tr>
      <w:bookmarkEnd w:id="39"/>
    </w:tbl>
    <w:p w14:paraId="591B9AB7" w14:textId="77777777" w:rsidR="007A1C9F" w:rsidRPr="0038114F" w:rsidRDefault="007A1C9F" w:rsidP="007A1C9F">
      <w:pPr>
        <w:spacing w:after="0" w:line="180" w:lineRule="exact"/>
        <w:rPr>
          <w:rFonts w:ascii="Verdana" w:eastAsia="Times New Roman" w:hAnsi="Verdana" w:cs="Times New Roman"/>
          <w:color w:val="000000" w:themeColor="text1"/>
          <w:sz w:val="18"/>
          <w:szCs w:val="18"/>
        </w:rPr>
      </w:pPr>
    </w:p>
    <w:sectPr w:rsidR="007A1C9F" w:rsidRPr="0038114F" w:rsidSect="006F7A7E">
      <w:headerReference w:type="default" r:id="rId23"/>
      <w:footerReference w:type="default" r:id="rId2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47C52" w14:textId="77777777" w:rsidR="00DB61F8" w:rsidRDefault="00DB61F8" w:rsidP="00CE64C5">
      <w:pPr>
        <w:spacing w:after="0" w:line="240" w:lineRule="auto"/>
      </w:pPr>
      <w:r>
        <w:separator/>
      </w:r>
    </w:p>
  </w:endnote>
  <w:endnote w:type="continuationSeparator" w:id="0">
    <w:p w14:paraId="1B465C4C" w14:textId="77777777" w:rsidR="00DB61F8" w:rsidRDefault="00DB61F8" w:rsidP="00CE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16033" w14:textId="77777777" w:rsidR="006D463C" w:rsidRDefault="006D46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3735" w14:textId="77777777" w:rsidR="0057695B" w:rsidRDefault="0057695B" w:rsidP="0057695B">
    <w:pPr>
      <w:pStyle w:val="Footer"/>
      <w:spacing w:line="24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D5860" w14:textId="77777777" w:rsidR="006D463C" w:rsidRDefault="006D46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CF77A" w14:textId="77777777" w:rsidR="00435F5B" w:rsidRPr="00F40E04" w:rsidRDefault="00435F5B" w:rsidP="00F40E0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21905" w14:textId="77777777" w:rsidR="00435F5B" w:rsidRPr="00F40E04" w:rsidRDefault="00435F5B" w:rsidP="00F40E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ABE66" w14:textId="77777777" w:rsidR="00435F5B" w:rsidRPr="00F40E04" w:rsidRDefault="00435F5B" w:rsidP="00F40E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F3BEC" w14:textId="77777777" w:rsidR="00DB61F8" w:rsidRDefault="00DB61F8" w:rsidP="00CE64C5">
      <w:pPr>
        <w:spacing w:after="0" w:line="240" w:lineRule="auto"/>
      </w:pPr>
      <w:r>
        <w:separator/>
      </w:r>
    </w:p>
  </w:footnote>
  <w:footnote w:type="continuationSeparator" w:id="0">
    <w:p w14:paraId="1B52896C" w14:textId="77777777" w:rsidR="00DB61F8" w:rsidRDefault="00DB61F8" w:rsidP="00CE6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7FB31" w14:textId="77777777" w:rsidR="006D463C" w:rsidRDefault="006D46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43906" w14:textId="77777777" w:rsidR="009A73A9" w:rsidRDefault="009A73A9" w:rsidP="005563B6">
    <w:pPr>
      <w:pStyle w:val="Header"/>
      <w:spacing w:line="22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8024B" w14:textId="77777777" w:rsidR="006D463C" w:rsidRDefault="006D46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94A40" w14:textId="74DF2CA5" w:rsidR="009A73A9" w:rsidRDefault="002C5697" w:rsidP="0038114F">
    <w:pPr>
      <w:pStyle w:val="Header"/>
      <w:spacing w:after="240"/>
      <w:jc w:val="right"/>
      <w:rPr>
        <w:rFonts w:ascii="Verdana" w:hAnsi="Verdana"/>
        <w:color w:val="015190"/>
      </w:rPr>
    </w:pPr>
    <w:r>
      <w:rPr>
        <w:rFonts w:ascii="Verdana" w:hAnsi="Verdana"/>
        <w:color w:val="015190"/>
      </w:rPr>
      <w:t xml:space="preserve">Associated Builders and Contractors of Alabama </w:t>
    </w:r>
  </w:p>
  <w:p w14:paraId="1DD26214" w14:textId="77777777" w:rsidR="009A73A9" w:rsidRPr="003A4AC5" w:rsidRDefault="009A73A9" w:rsidP="00687A35">
    <w:pPr>
      <w:shd w:val="clear" w:color="auto" w:fill="00A9CE"/>
      <w:spacing w:before="240" w:after="0" w:line="160" w:lineRule="exact"/>
      <w:rPr>
        <w:rFonts w:ascii="Verdana" w:eastAsia="Times New Roman" w:hAnsi="Verdana" w:cs="Arial"/>
        <w:b/>
        <w:bCs/>
        <w:color w:val="00A9CE"/>
        <w:sz w:val="18"/>
        <w:szCs w:val="18"/>
      </w:rPr>
    </w:pPr>
  </w:p>
  <w:p w14:paraId="2B09513D" w14:textId="77777777" w:rsidR="009A73A9" w:rsidRDefault="009A73A9" w:rsidP="00A16F0D">
    <w:pPr>
      <w:shd w:val="clear" w:color="auto" w:fill="F0EFE3"/>
      <w:spacing w:after="0" w:line="240" w:lineRule="auto"/>
      <w:rPr>
        <w:rFonts w:ascii="Verdana" w:eastAsia="Times New Roman" w:hAnsi="Verdana" w:cs="Times New Roman"/>
        <w:b/>
        <w:bCs/>
        <w:sz w:val="24"/>
        <w:szCs w:val="24"/>
      </w:rPr>
    </w:pPr>
    <w:r>
      <w:rPr>
        <w:noProof/>
      </w:rPr>
      <w:drawing>
        <wp:anchor distT="274320" distB="0" distL="114300" distR="114300" simplePos="0" relativeHeight="251683840" behindDoc="0" locked="0" layoutInCell="1" allowOverlap="1" wp14:anchorId="6D95EFC3" wp14:editId="2C1C024E">
          <wp:simplePos x="0" y="0"/>
          <wp:positionH relativeFrom="column">
            <wp:posOffset>-9525</wp:posOffset>
          </wp:positionH>
          <wp:positionV relativeFrom="paragraph">
            <wp:posOffset>-604520</wp:posOffset>
          </wp:positionV>
          <wp:extent cx="1133475" cy="457200"/>
          <wp:effectExtent l="0" t="0" r="952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3475" cy="457200"/>
                  </a:xfrm>
                  <a:prstGeom prst="rect">
                    <a:avLst/>
                  </a:prstGeom>
                </pic:spPr>
              </pic:pic>
            </a:graphicData>
          </a:graphic>
          <wp14:sizeRelH relativeFrom="margin">
            <wp14:pctWidth>0</wp14:pctWidth>
          </wp14:sizeRelH>
          <wp14:sizeRelV relativeFrom="margin">
            <wp14:pctHeight>0</wp14:pctHeight>
          </wp14:sizeRelV>
        </wp:anchor>
      </w:drawing>
    </w:r>
    <w:r>
      <w:rPr>
        <w:rFonts w:ascii="Verdana" w:eastAsia="Times New Roman" w:hAnsi="Verdana" w:cs="Times New Roman"/>
        <w:b/>
        <w:bCs/>
        <w:sz w:val="24"/>
        <w:szCs w:val="24"/>
      </w:rPr>
      <w:t>Short</w:t>
    </w:r>
    <w:r w:rsidRPr="008042CC">
      <w:rPr>
        <w:rFonts w:ascii="Verdana" w:eastAsia="Times New Roman" w:hAnsi="Verdana" w:cs="Times New Roman"/>
        <w:b/>
        <w:bCs/>
        <w:sz w:val="24"/>
        <w:szCs w:val="24"/>
      </w:rPr>
      <w:t xml:space="preserve"> Term Disability</w:t>
    </w:r>
  </w:p>
  <w:p w14:paraId="1F7E5EF0" w14:textId="77777777" w:rsidR="009A73A9" w:rsidRPr="00A9132A" w:rsidRDefault="009A73A9" w:rsidP="00687A35">
    <w:pPr>
      <w:spacing w:after="240" w:line="80" w:lineRule="exact"/>
      <w:rPr>
        <w:rFonts w:ascii="Verdana" w:eastAsia="Times New Roman" w:hAnsi="Verdana" w:cs="Times New Roman"/>
        <w:b/>
        <w:bCs/>
        <w:sz w:val="8"/>
        <w:szCs w:val="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A6CAB" w14:textId="184E5077" w:rsidR="009A73A9" w:rsidRDefault="009A73A9" w:rsidP="00463E71">
    <w:pPr>
      <w:pStyle w:val="Header"/>
      <w:spacing w:after="240"/>
      <w:jc w:val="right"/>
      <w:rPr>
        <w:rFonts w:ascii="Verdana" w:hAnsi="Verdana"/>
        <w:color w:val="015190"/>
      </w:rPr>
    </w:pPr>
    <w:r>
      <w:rPr>
        <w:noProof/>
      </w:rPr>
      <w:drawing>
        <wp:anchor distT="274320" distB="0" distL="114300" distR="114300" simplePos="0" relativeHeight="251671552" behindDoc="0" locked="0" layoutInCell="1" allowOverlap="1" wp14:anchorId="416ECE0B" wp14:editId="52E34606">
          <wp:simplePos x="0" y="0"/>
          <wp:positionH relativeFrom="column">
            <wp:posOffset>-12700</wp:posOffset>
          </wp:positionH>
          <wp:positionV relativeFrom="paragraph">
            <wp:posOffset>-160020</wp:posOffset>
          </wp:positionV>
          <wp:extent cx="1133856" cy="457200"/>
          <wp:effectExtent l="0" t="0" r="952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3856" cy="457200"/>
                  </a:xfrm>
                  <a:prstGeom prst="rect">
                    <a:avLst/>
                  </a:prstGeom>
                </pic:spPr>
              </pic:pic>
            </a:graphicData>
          </a:graphic>
          <wp14:sizeRelH relativeFrom="margin">
            <wp14:pctWidth>0</wp14:pctWidth>
          </wp14:sizeRelH>
          <wp14:sizeRelV relativeFrom="margin">
            <wp14:pctHeight>0</wp14:pctHeight>
          </wp14:sizeRelV>
        </wp:anchor>
      </w:drawing>
    </w:r>
    <w:r w:rsidR="002C5697">
      <w:rPr>
        <w:rFonts w:ascii="Verdana" w:hAnsi="Verdana"/>
        <w:color w:val="015190"/>
      </w:rPr>
      <w:t xml:space="preserve">Associated Builders and Contractors of Alabama </w:t>
    </w:r>
  </w:p>
  <w:p w14:paraId="48F7BBBB" w14:textId="77777777" w:rsidR="009A73A9" w:rsidRPr="00A9132A" w:rsidRDefault="009A73A9" w:rsidP="00463E71">
    <w:pPr>
      <w:shd w:val="clear" w:color="auto" w:fill="015294"/>
      <w:spacing w:after="0" w:line="160" w:lineRule="exact"/>
      <w:rPr>
        <w:rFonts w:ascii="Verdana" w:eastAsia="Times New Roman" w:hAnsi="Verdana" w:cs="Times New Roman"/>
        <w:b/>
        <w:bCs/>
        <w:sz w:val="8"/>
        <w:szCs w:val="8"/>
      </w:rPr>
    </w:pPr>
  </w:p>
  <w:p w14:paraId="62E9C614" w14:textId="77777777" w:rsidR="009A73A9" w:rsidRPr="00463E71" w:rsidRDefault="009A73A9" w:rsidP="00C90B6F">
    <w:pPr>
      <w:shd w:val="clear" w:color="auto" w:fill="F0EFE3"/>
      <w:spacing w:after="240" w:line="240" w:lineRule="auto"/>
      <w:rPr>
        <w:rFonts w:ascii="Verdana" w:eastAsia="Times New Roman" w:hAnsi="Verdana" w:cs="Times New Roman"/>
        <w:b/>
        <w:bCs/>
        <w:sz w:val="24"/>
        <w:szCs w:val="24"/>
      </w:rPr>
    </w:pPr>
    <w:r>
      <w:rPr>
        <w:rFonts w:ascii="Verdana" w:eastAsia="Times New Roman" w:hAnsi="Verdana" w:cs="Times New Roman"/>
        <w:b/>
        <w:bCs/>
        <w:sz w:val="24"/>
        <w:szCs w:val="24"/>
      </w:rPr>
      <w:t>General Coverage Highlights and Descriptions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6318B" w14:textId="6CDED230" w:rsidR="009A73A9" w:rsidRDefault="009A73A9" w:rsidP="0038114F">
    <w:pPr>
      <w:pStyle w:val="Header"/>
      <w:spacing w:after="240"/>
      <w:jc w:val="right"/>
      <w:rPr>
        <w:rFonts w:ascii="Verdana" w:hAnsi="Verdana"/>
        <w:color w:val="015190"/>
      </w:rPr>
    </w:pPr>
    <w:r>
      <w:rPr>
        <w:noProof/>
      </w:rPr>
      <w:drawing>
        <wp:anchor distT="274320" distB="0" distL="114300" distR="114300" simplePos="0" relativeHeight="251663360" behindDoc="0" locked="0" layoutInCell="1" allowOverlap="1" wp14:anchorId="74023FB3" wp14:editId="1552A8F8">
          <wp:simplePos x="0" y="0"/>
          <wp:positionH relativeFrom="column">
            <wp:posOffset>-12700</wp:posOffset>
          </wp:positionH>
          <wp:positionV relativeFrom="paragraph">
            <wp:posOffset>-179070</wp:posOffset>
          </wp:positionV>
          <wp:extent cx="1133856" cy="457200"/>
          <wp:effectExtent l="0" t="0" r="952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3856" cy="457200"/>
                  </a:xfrm>
                  <a:prstGeom prst="rect">
                    <a:avLst/>
                  </a:prstGeom>
                </pic:spPr>
              </pic:pic>
            </a:graphicData>
          </a:graphic>
          <wp14:sizeRelH relativeFrom="margin">
            <wp14:pctWidth>0</wp14:pctWidth>
          </wp14:sizeRelH>
          <wp14:sizeRelV relativeFrom="margin">
            <wp14:pctHeight>0</wp14:pctHeight>
          </wp14:sizeRelV>
        </wp:anchor>
      </w:drawing>
    </w:r>
    <w:r w:rsidR="002C5697">
      <w:rPr>
        <w:rFonts w:ascii="Verdana" w:hAnsi="Verdana"/>
        <w:color w:val="015190"/>
      </w:rPr>
      <w:t xml:space="preserve">Associated Builders and Contractors of Alabama </w:t>
    </w:r>
  </w:p>
  <w:p w14:paraId="25E7792A" w14:textId="77777777" w:rsidR="009A73A9" w:rsidRPr="00A9132A" w:rsidRDefault="009A73A9" w:rsidP="004B5904">
    <w:pPr>
      <w:shd w:val="clear" w:color="auto" w:fill="015294"/>
      <w:spacing w:after="0" w:line="160" w:lineRule="exact"/>
      <w:rPr>
        <w:rFonts w:ascii="Verdana" w:eastAsia="Times New Roman" w:hAnsi="Verdana" w:cs="Times New Roman"/>
        <w:b/>
        <w:bCs/>
        <w:sz w:val="8"/>
        <w:szCs w:val="8"/>
      </w:rPr>
    </w:pPr>
  </w:p>
  <w:p w14:paraId="3C2007AA" w14:textId="77777777" w:rsidR="009A73A9" w:rsidRPr="00463E71" w:rsidRDefault="009A73A9" w:rsidP="004B5904">
    <w:pPr>
      <w:shd w:val="clear" w:color="auto" w:fill="F0EFE3"/>
      <w:spacing w:after="240" w:line="240" w:lineRule="auto"/>
      <w:rPr>
        <w:rFonts w:ascii="Verdana" w:eastAsia="Times New Roman" w:hAnsi="Verdana" w:cs="Times New Roman"/>
        <w:b/>
        <w:bCs/>
        <w:sz w:val="24"/>
        <w:szCs w:val="24"/>
      </w:rPr>
    </w:pPr>
    <w:r>
      <w:rPr>
        <w:rFonts w:ascii="Verdana" w:eastAsia="Times New Roman" w:hAnsi="Verdana" w:cs="Times New Roman"/>
        <w:b/>
        <w:bCs/>
        <w:sz w:val="24"/>
        <w:szCs w:val="24"/>
      </w:rPr>
      <w:t>General Coverage Highlights and Descriptions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2BD"/>
    <w:multiLevelType w:val="hybridMultilevel"/>
    <w:tmpl w:val="D194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3108C"/>
    <w:multiLevelType w:val="hybridMultilevel"/>
    <w:tmpl w:val="F702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274D7"/>
    <w:multiLevelType w:val="hybridMultilevel"/>
    <w:tmpl w:val="547E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B209B"/>
    <w:multiLevelType w:val="hybridMultilevel"/>
    <w:tmpl w:val="90F8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21855"/>
    <w:multiLevelType w:val="hybridMultilevel"/>
    <w:tmpl w:val="40E6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E598E"/>
    <w:multiLevelType w:val="hybridMultilevel"/>
    <w:tmpl w:val="B9EC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96371"/>
    <w:multiLevelType w:val="hybridMultilevel"/>
    <w:tmpl w:val="88E0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434CC"/>
    <w:multiLevelType w:val="hybridMultilevel"/>
    <w:tmpl w:val="6DF6D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25DEA"/>
    <w:multiLevelType w:val="hybridMultilevel"/>
    <w:tmpl w:val="BAA61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76691C"/>
    <w:multiLevelType w:val="hybridMultilevel"/>
    <w:tmpl w:val="63CC1F3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0" w15:restartNumberingAfterBreak="0">
    <w:nsid w:val="1D173DB4"/>
    <w:multiLevelType w:val="hybridMultilevel"/>
    <w:tmpl w:val="DC46F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27B07"/>
    <w:multiLevelType w:val="hybridMultilevel"/>
    <w:tmpl w:val="1518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47C06"/>
    <w:multiLevelType w:val="hybridMultilevel"/>
    <w:tmpl w:val="7DE0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43918"/>
    <w:multiLevelType w:val="hybridMultilevel"/>
    <w:tmpl w:val="0DBAD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957891"/>
    <w:multiLevelType w:val="hybridMultilevel"/>
    <w:tmpl w:val="599E7E8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049AF"/>
    <w:multiLevelType w:val="hybridMultilevel"/>
    <w:tmpl w:val="F838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47E64"/>
    <w:multiLevelType w:val="hybridMultilevel"/>
    <w:tmpl w:val="24C2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A16A7"/>
    <w:multiLevelType w:val="hybridMultilevel"/>
    <w:tmpl w:val="04907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564A4"/>
    <w:multiLevelType w:val="hybridMultilevel"/>
    <w:tmpl w:val="7F1020FA"/>
    <w:lvl w:ilvl="0" w:tplc="24F8CA06">
      <w:numFmt w:val="bullet"/>
      <w:lvlText w:val="•"/>
      <w:lvlJc w:val="left"/>
      <w:pPr>
        <w:ind w:left="1080" w:hanging="720"/>
      </w:pPr>
      <w:rPr>
        <w:rFonts w:ascii="Verdana" w:eastAsiaTheme="minorHAns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00FEE"/>
    <w:multiLevelType w:val="hybridMultilevel"/>
    <w:tmpl w:val="B3B0F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664EE"/>
    <w:multiLevelType w:val="hybridMultilevel"/>
    <w:tmpl w:val="89C00FFE"/>
    <w:lvl w:ilvl="0" w:tplc="24F8CA06">
      <w:numFmt w:val="bullet"/>
      <w:lvlText w:val="•"/>
      <w:lvlJc w:val="left"/>
      <w:pPr>
        <w:ind w:left="1080" w:hanging="720"/>
      </w:pPr>
      <w:rPr>
        <w:rFonts w:ascii="Verdana" w:eastAsiaTheme="minorHAns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533190"/>
    <w:multiLevelType w:val="hybridMultilevel"/>
    <w:tmpl w:val="19E0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E1E5F"/>
    <w:multiLevelType w:val="hybridMultilevel"/>
    <w:tmpl w:val="E8B4BF28"/>
    <w:lvl w:ilvl="0" w:tplc="24F8CA06">
      <w:numFmt w:val="bullet"/>
      <w:lvlText w:val="•"/>
      <w:lvlJc w:val="left"/>
      <w:pPr>
        <w:ind w:left="1080" w:hanging="720"/>
      </w:pPr>
      <w:rPr>
        <w:rFonts w:ascii="Verdana" w:eastAsiaTheme="minorHAns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A1C91"/>
    <w:multiLevelType w:val="hybridMultilevel"/>
    <w:tmpl w:val="6000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55EA8"/>
    <w:multiLevelType w:val="hybridMultilevel"/>
    <w:tmpl w:val="252A0372"/>
    <w:lvl w:ilvl="0" w:tplc="04090001">
      <w:start w:val="1"/>
      <w:numFmt w:val="bullet"/>
      <w:lvlText w:val=""/>
      <w:lvlJc w:val="left"/>
      <w:pPr>
        <w:ind w:left="929" w:hanging="360"/>
      </w:pPr>
      <w:rPr>
        <w:rFonts w:ascii="Symbol" w:hAnsi="Symbol"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25" w15:restartNumberingAfterBreak="0">
    <w:nsid w:val="499E7760"/>
    <w:multiLevelType w:val="hybridMultilevel"/>
    <w:tmpl w:val="CD2E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544D65"/>
    <w:multiLevelType w:val="hybridMultilevel"/>
    <w:tmpl w:val="A198F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D8B1848"/>
    <w:multiLevelType w:val="multilevel"/>
    <w:tmpl w:val="8D0EE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8C3EC8"/>
    <w:multiLevelType w:val="hybridMultilevel"/>
    <w:tmpl w:val="5948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705B3F"/>
    <w:multiLevelType w:val="hybridMultilevel"/>
    <w:tmpl w:val="AB00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83052A"/>
    <w:multiLevelType w:val="hybridMultilevel"/>
    <w:tmpl w:val="8A68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42350"/>
    <w:multiLevelType w:val="hybridMultilevel"/>
    <w:tmpl w:val="DE68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87B5F"/>
    <w:multiLevelType w:val="hybridMultilevel"/>
    <w:tmpl w:val="8320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9C12BC"/>
    <w:multiLevelType w:val="hybridMultilevel"/>
    <w:tmpl w:val="5DE8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F2FAF"/>
    <w:multiLevelType w:val="hybridMultilevel"/>
    <w:tmpl w:val="0C124D8C"/>
    <w:lvl w:ilvl="0" w:tplc="24F8CA06">
      <w:numFmt w:val="bullet"/>
      <w:lvlText w:val="•"/>
      <w:lvlJc w:val="left"/>
      <w:pPr>
        <w:ind w:left="1080" w:hanging="720"/>
      </w:pPr>
      <w:rPr>
        <w:rFonts w:ascii="Verdana" w:eastAsiaTheme="minorHAns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C1004"/>
    <w:multiLevelType w:val="hybridMultilevel"/>
    <w:tmpl w:val="58EA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652939"/>
    <w:multiLevelType w:val="hybridMultilevel"/>
    <w:tmpl w:val="740C6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23D65"/>
    <w:multiLevelType w:val="hybridMultilevel"/>
    <w:tmpl w:val="0DFC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524064"/>
    <w:multiLevelType w:val="hybridMultilevel"/>
    <w:tmpl w:val="1108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1142A8"/>
    <w:multiLevelType w:val="hybridMultilevel"/>
    <w:tmpl w:val="4950F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867FE6"/>
    <w:multiLevelType w:val="hybridMultilevel"/>
    <w:tmpl w:val="C216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14424C"/>
    <w:multiLevelType w:val="hybridMultilevel"/>
    <w:tmpl w:val="3F3C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F90EF4"/>
    <w:multiLevelType w:val="hybridMultilevel"/>
    <w:tmpl w:val="A680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6814C5"/>
    <w:multiLevelType w:val="hybridMultilevel"/>
    <w:tmpl w:val="1C44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C54282"/>
    <w:multiLevelType w:val="hybridMultilevel"/>
    <w:tmpl w:val="BF46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21"/>
  </w:num>
  <w:num w:numId="4">
    <w:abstractNumId w:val="15"/>
  </w:num>
  <w:num w:numId="5">
    <w:abstractNumId w:val="3"/>
  </w:num>
  <w:num w:numId="6">
    <w:abstractNumId w:val="31"/>
  </w:num>
  <w:num w:numId="7">
    <w:abstractNumId w:val="4"/>
  </w:num>
  <w:num w:numId="8">
    <w:abstractNumId w:val="35"/>
  </w:num>
  <w:num w:numId="9">
    <w:abstractNumId w:val="2"/>
  </w:num>
  <w:num w:numId="10">
    <w:abstractNumId w:val="33"/>
  </w:num>
  <w:num w:numId="11">
    <w:abstractNumId w:val="5"/>
  </w:num>
  <w:num w:numId="12">
    <w:abstractNumId w:val="12"/>
  </w:num>
  <w:num w:numId="13">
    <w:abstractNumId w:val="28"/>
  </w:num>
  <w:num w:numId="14">
    <w:abstractNumId w:val="7"/>
  </w:num>
  <w:num w:numId="15">
    <w:abstractNumId w:val="38"/>
  </w:num>
  <w:num w:numId="16">
    <w:abstractNumId w:val="32"/>
  </w:num>
  <w:num w:numId="17">
    <w:abstractNumId w:val="24"/>
  </w:num>
  <w:num w:numId="18">
    <w:abstractNumId w:val="39"/>
  </w:num>
  <w:num w:numId="19">
    <w:abstractNumId w:val="9"/>
  </w:num>
  <w:num w:numId="20">
    <w:abstractNumId w:val="27"/>
  </w:num>
  <w:num w:numId="21">
    <w:abstractNumId w:val="42"/>
  </w:num>
  <w:num w:numId="22">
    <w:abstractNumId w:val="11"/>
  </w:num>
  <w:num w:numId="23">
    <w:abstractNumId w:val="23"/>
  </w:num>
  <w:num w:numId="24">
    <w:abstractNumId w:val="16"/>
  </w:num>
  <w:num w:numId="25">
    <w:abstractNumId w:val="17"/>
  </w:num>
  <w:num w:numId="26">
    <w:abstractNumId w:val="37"/>
  </w:num>
  <w:num w:numId="27">
    <w:abstractNumId w:val="36"/>
  </w:num>
  <w:num w:numId="28">
    <w:abstractNumId w:val="30"/>
  </w:num>
  <w:num w:numId="29">
    <w:abstractNumId w:val="13"/>
  </w:num>
  <w:num w:numId="30">
    <w:abstractNumId w:val="8"/>
  </w:num>
  <w:num w:numId="31">
    <w:abstractNumId w:val="41"/>
  </w:num>
  <w:num w:numId="32">
    <w:abstractNumId w:val="26"/>
  </w:num>
  <w:num w:numId="33">
    <w:abstractNumId w:val="0"/>
  </w:num>
  <w:num w:numId="34">
    <w:abstractNumId w:val="1"/>
  </w:num>
  <w:num w:numId="35">
    <w:abstractNumId w:val="25"/>
  </w:num>
  <w:num w:numId="36">
    <w:abstractNumId w:val="19"/>
  </w:num>
  <w:num w:numId="37">
    <w:abstractNumId w:val="40"/>
  </w:num>
  <w:num w:numId="38">
    <w:abstractNumId w:val="10"/>
  </w:num>
  <w:num w:numId="39">
    <w:abstractNumId w:val="43"/>
  </w:num>
  <w:num w:numId="40">
    <w:abstractNumId w:val="44"/>
  </w:num>
  <w:num w:numId="41">
    <w:abstractNumId w:val="14"/>
  </w:num>
  <w:num w:numId="42">
    <w:abstractNumId w:val="22"/>
  </w:num>
  <w:num w:numId="43">
    <w:abstractNumId w:val="34"/>
  </w:num>
  <w:num w:numId="44">
    <w:abstractNumId w:val="18"/>
  </w:num>
  <w:num w:numId="45">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57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97"/>
    <w:rsid w:val="00000458"/>
    <w:rsid w:val="000011AA"/>
    <w:rsid w:val="00006AA9"/>
    <w:rsid w:val="000078F4"/>
    <w:rsid w:val="000126E7"/>
    <w:rsid w:val="0001270D"/>
    <w:rsid w:val="00013DF8"/>
    <w:rsid w:val="00014F9B"/>
    <w:rsid w:val="00017704"/>
    <w:rsid w:val="00021D0E"/>
    <w:rsid w:val="00023B7D"/>
    <w:rsid w:val="00026197"/>
    <w:rsid w:val="00026A34"/>
    <w:rsid w:val="000276A5"/>
    <w:rsid w:val="00034733"/>
    <w:rsid w:val="0003475E"/>
    <w:rsid w:val="00035C8C"/>
    <w:rsid w:val="00042C42"/>
    <w:rsid w:val="00045B06"/>
    <w:rsid w:val="00045E07"/>
    <w:rsid w:val="000460AF"/>
    <w:rsid w:val="00050E53"/>
    <w:rsid w:val="00050F08"/>
    <w:rsid w:val="000544EF"/>
    <w:rsid w:val="00054882"/>
    <w:rsid w:val="00054CFE"/>
    <w:rsid w:val="00057052"/>
    <w:rsid w:val="000614B1"/>
    <w:rsid w:val="00063402"/>
    <w:rsid w:val="000651D8"/>
    <w:rsid w:val="0006597A"/>
    <w:rsid w:val="00066278"/>
    <w:rsid w:val="00066710"/>
    <w:rsid w:val="0006689D"/>
    <w:rsid w:val="000670DF"/>
    <w:rsid w:val="00070CFA"/>
    <w:rsid w:val="00073016"/>
    <w:rsid w:val="000742E7"/>
    <w:rsid w:val="00074BC7"/>
    <w:rsid w:val="00075454"/>
    <w:rsid w:val="00077EA3"/>
    <w:rsid w:val="00081F1B"/>
    <w:rsid w:val="00081FF5"/>
    <w:rsid w:val="00083288"/>
    <w:rsid w:val="00085040"/>
    <w:rsid w:val="00086D45"/>
    <w:rsid w:val="00087D38"/>
    <w:rsid w:val="000911CE"/>
    <w:rsid w:val="000921CB"/>
    <w:rsid w:val="00093036"/>
    <w:rsid w:val="00093B87"/>
    <w:rsid w:val="000945D3"/>
    <w:rsid w:val="000968C1"/>
    <w:rsid w:val="0009734A"/>
    <w:rsid w:val="000974AE"/>
    <w:rsid w:val="00097F1A"/>
    <w:rsid w:val="000A0410"/>
    <w:rsid w:val="000A0E26"/>
    <w:rsid w:val="000A23A3"/>
    <w:rsid w:val="000A2CF8"/>
    <w:rsid w:val="000A2E8C"/>
    <w:rsid w:val="000A7142"/>
    <w:rsid w:val="000B0F7D"/>
    <w:rsid w:val="000B295C"/>
    <w:rsid w:val="000B3DFA"/>
    <w:rsid w:val="000B6024"/>
    <w:rsid w:val="000B73D5"/>
    <w:rsid w:val="000B74E6"/>
    <w:rsid w:val="000B7B86"/>
    <w:rsid w:val="000C3AF6"/>
    <w:rsid w:val="000C5838"/>
    <w:rsid w:val="000C7BB5"/>
    <w:rsid w:val="000D009B"/>
    <w:rsid w:val="000D054C"/>
    <w:rsid w:val="000D4835"/>
    <w:rsid w:val="000E1DBE"/>
    <w:rsid w:val="000E306E"/>
    <w:rsid w:val="000E34F4"/>
    <w:rsid w:val="000E46C2"/>
    <w:rsid w:val="000E7197"/>
    <w:rsid w:val="000E7484"/>
    <w:rsid w:val="000F79DA"/>
    <w:rsid w:val="00102874"/>
    <w:rsid w:val="00104E72"/>
    <w:rsid w:val="001103AD"/>
    <w:rsid w:val="00110A72"/>
    <w:rsid w:val="00110EE9"/>
    <w:rsid w:val="001110D4"/>
    <w:rsid w:val="001115EC"/>
    <w:rsid w:val="00111EF7"/>
    <w:rsid w:val="0011431C"/>
    <w:rsid w:val="001151BF"/>
    <w:rsid w:val="0011571D"/>
    <w:rsid w:val="00115C0F"/>
    <w:rsid w:val="001172F6"/>
    <w:rsid w:val="0011758B"/>
    <w:rsid w:val="00122342"/>
    <w:rsid w:val="00123923"/>
    <w:rsid w:val="00123B5D"/>
    <w:rsid w:val="0012432A"/>
    <w:rsid w:val="00124F63"/>
    <w:rsid w:val="001259E1"/>
    <w:rsid w:val="001263D0"/>
    <w:rsid w:val="0012646C"/>
    <w:rsid w:val="00133989"/>
    <w:rsid w:val="0013413A"/>
    <w:rsid w:val="00136F1F"/>
    <w:rsid w:val="00137685"/>
    <w:rsid w:val="00137957"/>
    <w:rsid w:val="00140101"/>
    <w:rsid w:val="001410FA"/>
    <w:rsid w:val="001443A1"/>
    <w:rsid w:val="00144962"/>
    <w:rsid w:val="001461CF"/>
    <w:rsid w:val="001475E5"/>
    <w:rsid w:val="00147D7E"/>
    <w:rsid w:val="00150757"/>
    <w:rsid w:val="00154E81"/>
    <w:rsid w:val="001552C0"/>
    <w:rsid w:val="00155EB5"/>
    <w:rsid w:val="00164154"/>
    <w:rsid w:val="00164954"/>
    <w:rsid w:val="001656C1"/>
    <w:rsid w:val="00167990"/>
    <w:rsid w:val="00170523"/>
    <w:rsid w:val="00171C35"/>
    <w:rsid w:val="0017274E"/>
    <w:rsid w:val="0017394D"/>
    <w:rsid w:val="00174997"/>
    <w:rsid w:val="00175C51"/>
    <w:rsid w:val="0017636C"/>
    <w:rsid w:val="00181EBD"/>
    <w:rsid w:val="0018213B"/>
    <w:rsid w:val="001848F9"/>
    <w:rsid w:val="00184E06"/>
    <w:rsid w:val="001855E2"/>
    <w:rsid w:val="0018589D"/>
    <w:rsid w:val="0018659E"/>
    <w:rsid w:val="0018663D"/>
    <w:rsid w:val="0018756B"/>
    <w:rsid w:val="001901FC"/>
    <w:rsid w:val="001923A4"/>
    <w:rsid w:val="00192716"/>
    <w:rsid w:val="00193175"/>
    <w:rsid w:val="0019469F"/>
    <w:rsid w:val="00195211"/>
    <w:rsid w:val="0019729E"/>
    <w:rsid w:val="001A0F6B"/>
    <w:rsid w:val="001A23AC"/>
    <w:rsid w:val="001A4612"/>
    <w:rsid w:val="001A59F1"/>
    <w:rsid w:val="001A747C"/>
    <w:rsid w:val="001B2BA5"/>
    <w:rsid w:val="001B3701"/>
    <w:rsid w:val="001B548D"/>
    <w:rsid w:val="001B5BB1"/>
    <w:rsid w:val="001B788F"/>
    <w:rsid w:val="001C2C5F"/>
    <w:rsid w:val="001C78AB"/>
    <w:rsid w:val="001E19E6"/>
    <w:rsid w:val="001E29B6"/>
    <w:rsid w:val="001E2FB0"/>
    <w:rsid w:val="001E7A1C"/>
    <w:rsid w:val="001F5767"/>
    <w:rsid w:val="001F7B86"/>
    <w:rsid w:val="00200002"/>
    <w:rsid w:val="00201EC8"/>
    <w:rsid w:val="00202348"/>
    <w:rsid w:val="00202588"/>
    <w:rsid w:val="00202E3F"/>
    <w:rsid w:val="00203E3D"/>
    <w:rsid w:val="00207A53"/>
    <w:rsid w:val="00207A5A"/>
    <w:rsid w:val="00213440"/>
    <w:rsid w:val="002136FC"/>
    <w:rsid w:val="002162FC"/>
    <w:rsid w:val="00216EDB"/>
    <w:rsid w:val="00221302"/>
    <w:rsid w:val="00223E2D"/>
    <w:rsid w:val="002246F9"/>
    <w:rsid w:val="00225670"/>
    <w:rsid w:val="0022696F"/>
    <w:rsid w:val="00235E0C"/>
    <w:rsid w:val="00236946"/>
    <w:rsid w:val="0023762B"/>
    <w:rsid w:val="00240556"/>
    <w:rsid w:val="00242E28"/>
    <w:rsid w:val="00243F78"/>
    <w:rsid w:val="002447AC"/>
    <w:rsid w:val="002479D9"/>
    <w:rsid w:val="00251908"/>
    <w:rsid w:val="00252251"/>
    <w:rsid w:val="0025684C"/>
    <w:rsid w:val="0026201B"/>
    <w:rsid w:val="002634FB"/>
    <w:rsid w:val="0026623C"/>
    <w:rsid w:val="0027100C"/>
    <w:rsid w:val="00273A00"/>
    <w:rsid w:val="00275D8E"/>
    <w:rsid w:val="002774FE"/>
    <w:rsid w:val="0027793D"/>
    <w:rsid w:val="00282047"/>
    <w:rsid w:val="00283747"/>
    <w:rsid w:val="00283A91"/>
    <w:rsid w:val="002876CA"/>
    <w:rsid w:val="002915E3"/>
    <w:rsid w:val="0029240D"/>
    <w:rsid w:val="00293B89"/>
    <w:rsid w:val="002958D0"/>
    <w:rsid w:val="002A3D62"/>
    <w:rsid w:val="002A43DF"/>
    <w:rsid w:val="002A453E"/>
    <w:rsid w:val="002A5005"/>
    <w:rsid w:val="002A58B9"/>
    <w:rsid w:val="002B0048"/>
    <w:rsid w:val="002B1003"/>
    <w:rsid w:val="002B1895"/>
    <w:rsid w:val="002B3A46"/>
    <w:rsid w:val="002B435C"/>
    <w:rsid w:val="002B6F36"/>
    <w:rsid w:val="002C0349"/>
    <w:rsid w:val="002C1648"/>
    <w:rsid w:val="002C5697"/>
    <w:rsid w:val="002D0EE6"/>
    <w:rsid w:val="002D317A"/>
    <w:rsid w:val="002D6D11"/>
    <w:rsid w:val="002E14E7"/>
    <w:rsid w:val="002E38C7"/>
    <w:rsid w:val="002E3F7D"/>
    <w:rsid w:val="002E4659"/>
    <w:rsid w:val="002E67B5"/>
    <w:rsid w:val="002F1D4F"/>
    <w:rsid w:val="002F32FC"/>
    <w:rsid w:val="002F487D"/>
    <w:rsid w:val="003007DA"/>
    <w:rsid w:val="00300F4B"/>
    <w:rsid w:val="003017FE"/>
    <w:rsid w:val="00301A00"/>
    <w:rsid w:val="0030546E"/>
    <w:rsid w:val="00305A7D"/>
    <w:rsid w:val="003073D9"/>
    <w:rsid w:val="003139A8"/>
    <w:rsid w:val="00313FE7"/>
    <w:rsid w:val="003229DD"/>
    <w:rsid w:val="003248AA"/>
    <w:rsid w:val="00324A9E"/>
    <w:rsid w:val="003304B9"/>
    <w:rsid w:val="00331C80"/>
    <w:rsid w:val="0033324B"/>
    <w:rsid w:val="00334810"/>
    <w:rsid w:val="00335AEE"/>
    <w:rsid w:val="0033723F"/>
    <w:rsid w:val="003372B8"/>
    <w:rsid w:val="003376A2"/>
    <w:rsid w:val="00341F9E"/>
    <w:rsid w:val="003429EE"/>
    <w:rsid w:val="00342FAE"/>
    <w:rsid w:val="003437F9"/>
    <w:rsid w:val="00343978"/>
    <w:rsid w:val="003439C2"/>
    <w:rsid w:val="00345887"/>
    <w:rsid w:val="003460F4"/>
    <w:rsid w:val="00350537"/>
    <w:rsid w:val="00350C36"/>
    <w:rsid w:val="00352EA5"/>
    <w:rsid w:val="00353B6D"/>
    <w:rsid w:val="0035541E"/>
    <w:rsid w:val="003611F7"/>
    <w:rsid w:val="00361591"/>
    <w:rsid w:val="00361799"/>
    <w:rsid w:val="00363FE2"/>
    <w:rsid w:val="003701A5"/>
    <w:rsid w:val="00370A99"/>
    <w:rsid w:val="003723E5"/>
    <w:rsid w:val="00380222"/>
    <w:rsid w:val="0038114F"/>
    <w:rsid w:val="00382343"/>
    <w:rsid w:val="00384013"/>
    <w:rsid w:val="003912CE"/>
    <w:rsid w:val="00391848"/>
    <w:rsid w:val="003942CF"/>
    <w:rsid w:val="003944C5"/>
    <w:rsid w:val="003947AB"/>
    <w:rsid w:val="0039579D"/>
    <w:rsid w:val="00397641"/>
    <w:rsid w:val="003A1BC5"/>
    <w:rsid w:val="003A2CFB"/>
    <w:rsid w:val="003A38C7"/>
    <w:rsid w:val="003A3F3A"/>
    <w:rsid w:val="003A4AC5"/>
    <w:rsid w:val="003B1B9D"/>
    <w:rsid w:val="003B36E4"/>
    <w:rsid w:val="003B5325"/>
    <w:rsid w:val="003B706B"/>
    <w:rsid w:val="003C1C27"/>
    <w:rsid w:val="003C2F73"/>
    <w:rsid w:val="003C39B7"/>
    <w:rsid w:val="003C51FD"/>
    <w:rsid w:val="003C6FC4"/>
    <w:rsid w:val="003D2B37"/>
    <w:rsid w:val="003D2D74"/>
    <w:rsid w:val="003D34B0"/>
    <w:rsid w:val="003D479F"/>
    <w:rsid w:val="003D53BB"/>
    <w:rsid w:val="003E46C4"/>
    <w:rsid w:val="003E5658"/>
    <w:rsid w:val="003E614D"/>
    <w:rsid w:val="003F1C9B"/>
    <w:rsid w:val="003F3BE7"/>
    <w:rsid w:val="003F3CB4"/>
    <w:rsid w:val="003F53DC"/>
    <w:rsid w:val="00400EBD"/>
    <w:rsid w:val="004012A5"/>
    <w:rsid w:val="00406210"/>
    <w:rsid w:val="004120E4"/>
    <w:rsid w:val="00412C87"/>
    <w:rsid w:val="00414E90"/>
    <w:rsid w:val="004164C7"/>
    <w:rsid w:val="00421197"/>
    <w:rsid w:val="004252D9"/>
    <w:rsid w:val="00426BE0"/>
    <w:rsid w:val="00435F5B"/>
    <w:rsid w:val="00436786"/>
    <w:rsid w:val="004410C5"/>
    <w:rsid w:val="00446814"/>
    <w:rsid w:val="00447918"/>
    <w:rsid w:val="0045758F"/>
    <w:rsid w:val="0045778D"/>
    <w:rsid w:val="004619D8"/>
    <w:rsid w:val="00461D68"/>
    <w:rsid w:val="004624C6"/>
    <w:rsid w:val="00463E71"/>
    <w:rsid w:val="0046533B"/>
    <w:rsid w:val="00466693"/>
    <w:rsid w:val="004674B1"/>
    <w:rsid w:val="00472E47"/>
    <w:rsid w:val="00474673"/>
    <w:rsid w:val="00476FCD"/>
    <w:rsid w:val="00480102"/>
    <w:rsid w:val="0048083F"/>
    <w:rsid w:val="00480AB5"/>
    <w:rsid w:val="00481A78"/>
    <w:rsid w:val="00481D6D"/>
    <w:rsid w:val="004854CF"/>
    <w:rsid w:val="00485AE8"/>
    <w:rsid w:val="00486AB6"/>
    <w:rsid w:val="00487935"/>
    <w:rsid w:val="0049183B"/>
    <w:rsid w:val="00492886"/>
    <w:rsid w:val="00495126"/>
    <w:rsid w:val="004A15A6"/>
    <w:rsid w:val="004A1ACA"/>
    <w:rsid w:val="004A1DD6"/>
    <w:rsid w:val="004A2472"/>
    <w:rsid w:val="004A310C"/>
    <w:rsid w:val="004A4F3D"/>
    <w:rsid w:val="004A5C77"/>
    <w:rsid w:val="004B5904"/>
    <w:rsid w:val="004B5A82"/>
    <w:rsid w:val="004B6805"/>
    <w:rsid w:val="004B6F4A"/>
    <w:rsid w:val="004B72CB"/>
    <w:rsid w:val="004C4EBF"/>
    <w:rsid w:val="004D0510"/>
    <w:rsid w:val="004D42BB"/>
    <w:rsid w:val="004D5DFB"/>
    <w:rsid w:val="004D7828"/>
    <w:rsid w:val="004E0521"/>
    <w:rsid w:val="004E39A4"/>
    <w:rsid w:val="004E5920"/>
    <w:rsid w:val="004F4D30"/>
    <w:rsid w:val="004F6EA8"/>
    <w:rsid w:val="00500BA4"/>
    <w:rsid w:val="0050238E"/>
    <w:rsid w:val="0050338B"/>
    <w:rsid w:val="0050372A"/>
    <w:rsid w:val="00503829"/>
    <w:rsid w:val="00506751"/>
    <w:rsid w:val="005102A6"/>
    <w:rsid w:val="00510DBF"/>
    <w:rsid w:val="0051332E"/>
    <w:rsid w:val="00513BF6"/>
    <w:rsid w:val="005154EF"/>
    <w:rsid w:val="00516DFB"/>
    <w:rsid w:val="00516E70"/>
    <w:rsid w:val="00520BEA"/>
    <w:rsid w:val="00521E84"/>
    <w:rsid w:val="00521F76"/>
    <w:rsid w:val="00525531"/>
    <w:rsid w:val="0052626D"/>
    <w:rsid w:val="00526A36"/>
    <w:rsid w:val="005300DA"/>
    <w:rsid w:val="00532D7B"/>
    <w:rsid w:val="00533875"/>
    <w:rsid w:val="00535A54"/>
    <w:rsid w:val="00537A72"/>
    <w:rsid w:val="00540B9F"/>
    <w:rsid w:val="005421EC"/>
    <w:rsid w:val="00542AF1"/>
    <w:rsid w:val="00543C88"/>
    <w:rsid w:val="00546109"/>
    <w:rsid w:val="0054735C"/>
    <w:rsid w:val="005510B1"/>
    <w:rsid w:val="0055281A"/>
    <w:rsid w:val="00554507"/>
    <w:rsid w:val="00555991"/>
    <w:rsid w:val="00555A5B"/>
    <w:rsid w:val="005563B6"/>
    <w:rsid w:val="00556E12"/>
    <w:rsid w:val="00557F53"/>
    <w:rsid w:val="005614F1"/>
    <w:rsid w:val="00564C47"/>
    <w:rsid w:val="00565CB7"/>
    <w:rsid w:val="005707CF"/>
    <w:rsid w:val="0057118F"/>
    <w:rsid w:val="00575CDB"/>
    <w:rsid w:val="0057695B"/>
    <w:rsid w:val="00577143"/>
    <w:rsid w:val="005778B3"/>
    <w:rsid w:val="005779DF"/>
    <w:rsid w:val="00577E69"/>
    <w:rsid w:val="005836F8"/>
    <w:rsid w:val="005840AD"/>
    <w:rsid w:val="0058715B"/>
    <w:rsid w:val="005872FE"/>
    <w:rsid w:val="005900E5"/>
    <w:rsid w:val="00591331"/>
    <w:rsid w:val="00591750"/>
    <w:rsid w:val="00591774"/>
    <w:rsid w:val="00591DF2"/>
    <w:rsid w:val="00593F42"/>
    <w:rsid w:val="005948D9"/>
    <w:rsid w:val="005969B7"/>
    <w:rsid w:val="0059790A"/>
    <w:rsid w:val="00597B52"/>
    <w:rsid w:val="005A138B"/>
    <w:rsid w:val="005A2155"/>
    <w:rsid w:val="005A2A4D"/>
    <w:rsid w:val="005A2EAF"/>
    <w:rsid w:val="005A4053"/>
    <w:rsid w:val="005A594B"/>
    <w:rsid w:val="005A6529"/>
    <w:rsid w:val="005A717D"/>
    <w:rsid w:val="005A73F5"/>
    <w:rsid w:val="005B0234"/>
    <w:rsid w:val="005B12D1"/>
    <w:rsid w:val="005B2A2E"/>
    <w:rsid w:val="005B73C7"/>
    <w:rsid w:val="005C025B"/>
    <w:rsid w:val="005C0B14"/>
    <w:rsid w:val="005C11C2"/>
    <w:rsid w:val="005C319C"/>
    <w:rsid w:val="005C4DD9"/>
    <w:rsid w:val="005C5714"/>
    <w:rsid w:val="005D1F1E"/>
    <w:rsid w:val="005D4D61"/>
    <w:rsid w:val="005E00AA"/>
    <w:rsid w:val="005E13A8"/>
    <w:rsid w:val="005E3627"/>
    <w:rsid w:val="005E4C85"/>
    <w:rsid w:val="005E5C51"/>
    <w:rsid w:val="005E5C6E"/>
    <w:rsid w:val="005E5F97"/>
    <w:rsid w:val="005F0768"/>
    <w:rsid w:val="005F315D"/>
    <w:rsid w:val="005F4547"/>
    <w:rsid w:val="005F4E13"/>
    <w:rsid w:val="005F7C79"/>
    <w:rsid w:val="005F7C97"/>
    <w:rsid w:val="006047E7"/>
    <w:rsid w:val="00607520"/>
    <w:rsid w:val="00610462"/>
    <w:rsid w:val="00614348"/>
    <w:rsid w:val="00614D3F"/>
    <w:rsid w:val="00615F52"/>
    <w:rsid w:val="0062201C"/>
    <w:rsid w:val="006229A1"/>
    <w:rsid w:val="00624D43"/>
    <w:rsid w:val="006259FD"/>
    <w:rsid w:val="0062649A"/>
    <w:rsid w:val="006309B9"/>
    <w:rsid w:val="00630EFA"/>
    <w:rsid w:val="00633931"/>
    <w:rsid w:val="00634386"/>
    <w:rsid w:val="00634F7D"/>
    <w:rsid w:val="00635391"/>
    <w:rsid w:val="00636144"/>
    <w:rsid w:val="006441D5"/>
    <w:rsid w:val="00645F2A"/>
    <w:rsid w:val="00650489"/>
    <w:rsid w:val="00653725"/>
    <w:rsid w:val="00653BB3"/>
    <w:rsid w:val="00654EC2"/>
    <w:rsid w:val="00657795"/>
    <w:rsid w:val="00661921"/>
    <w:rsid w:val="00662AB4"/>
    <w:rsid w:val="00663047"/>
    <w:rsid w:val="00663214"/>
    <w:rsid w:val="0066483F"/>
    <w:rsid w:val="006720A1"/>
    <w:rsid w:val="00675483"/>
    <w:rsid w:val="00682019"/>
    <w:rsid w:val="0068472B"/>
    <w:rsid w:val="0068491D"/>
    <w:rsid w:val="00687490"/>
    <w:rsid w:val="00687A35"/>
    <w:rsid w:val="00692CA4"/>
    <w:rsid w:val="00694AC7"/>
    <w:rsid w:val="00696888"/>
    <w:rsid w:val="006975A8"/>
    <w:rsid w:val="006A1A4D"/>
    <w:rsid w:val="006A2C5A"/>
    <w:rsid w:val="006B1B86"/>
    <w:rsid w:val="006B3FF3"/>
    <w:rsid w:val="006B4F14"/>
    <w:rsid w:val="006B678B"/>
    <w:rsid w:val="006C0366"/>
    <w:rsid w:val="006C0BDB"/>
    <w:rsid w:val="006C154C"/>
    <w:rsid w:val="006C56C9"/>
    <w:rsid w:val="006D0808"/>
    <w:rsid w:val="006D0F83"/>
    <w:rsid w:val="006D1ABF"/>
    <w:rsid w:val="006D1D93"/>
    <w:rsid w:val="006D31C3"/>
    <w:rsid w:val="006D407A"/>
    <w:rsid w:val="006D40F2"/>
    <w:rsid w:val="006D463C"/>
    <w:rsid w:val="006D51D0"/>
    <w:rsid w:val="006D5527"/>
    <w:rsid w:val="006D5686"/>
    <w:rsid w:val="006D5B28"/>
    <w:rsid w:val="006E1E43"/>
    <w:rsid w:val="006E3160"/>
    <w:rsid w:val="006E3D49"/>
    <w:rsid w:val="006F4A26"/>
    <w:rsid w:val="006F7A7E"/>
    <w:rsid w:val="00700155"/>
    <w:rsid w:val="007004DB"/>
    <w:rsid w:val="007031D1"/>
    <w:rsid w:val="00704A88"/>
    <w:rsid w:val="00710C95"/>
    <w:rsid w:val="00716530"/>
    <w:rsid w:val="007174F8"/>
    <w:rsid w:val="00722166"/>
    <w:rsid w:val="00722FBF"/>
    <w:rsid w:val="00724D36"/>
    <w:rsid w:val="00725395"/>
    <w:rsid w:val="00725C0D"/>
    <w:rsid w:val="00727B69"/>
    <w:rsid w:val="0073170D"/>
    <w:rsid w:val="00732DCD"/>
    <w:rsid w:val="00733E33"/>
    <w:rsid w:val="00736E51"/>
    <w:rsid w:val="007379F8"/>
    <w:rsid w:val="00740709"/>
    <w:rsid w:val="0074297C"/>
    <w:rsid w:val="00742E80"/>
    <w:rsid w:val="00745322"/>
    <w:rsid w:val="0074659A"/>
    <w:rsid w:val="0074693C"/>
    <w:rsid w:val="00746AF0"/>
    <w:rsid w:val="007501C5"/>
    <w:rsid w:val="00751D2A"/>
    <w:rsid w:val="0075328C"/>
    <w:rsid w:val="00760A4C"/>
    <w:rsid w:val="007619DF"/>
    <w:rsid w:val="00764C0A"/>
    <w:rsid w:val="00771CDE"/>
    <w:rsid w:val="007730CB"/>
    <w:rsid w:val="00773744"/>
    <w:rsid w:val="0077605E"/>
    <w:rsid w:val="00777495"/>
    <w:rsid w:val="00786CF6"/>
    <w:rsid w:val="00786D4C"/>
    <w:rsid w:val="0079047B"/>
    <w:rsid w:val="00791E80"/>
    <w:rsid w:val="007923D6"/>
    <w:rsid w:val="00794C82"/>
    <w:rsid w:val="00795603"/>
    <w:rsid w:val="00796418"/>
    <w:rsid w:val="00797FB6"/>
    <w:rsid w:val="007A0F34"/>
    <w:rsid w:val="007A1C9F"/>
    <w:rsid w:val="007A59D2"/>
    <w:rsid w:val="007A75F7"/>
    <w:rsid w:val="007B04F3"/>
    <w:rsid w:val="007B0E94"/>
    <w:rsid w:val="007B15B6"/>
    <w:rsid w:val="007B2D06"/>
    <w:rsid w:val="007B48F5"/>
    <w:rsid w:val="007B56EE"/>
    <w:rsid w:val="007B570A"/>
    <w:rsid w:val="007B6849"/>
    <w:rsid w:val="007B6CE0"/>
    <w:rsid w:val="007C2E12"/>
    <w:rsid w:val="007D00E7"/>
    <w:rsid w:val="007D7533"/>
    <w:rsid w:val="007E00F6"/>
    <w:rsid w:val="007E28E5"/>
    <w:rsid w:val="007E3306"/>
    <w:rsid w:val="007F00A5"/>
    <w:rsid w:val="007F50AF"/>
    <w:rsid w:val="00802BE5"/>
    <w:rsid w:val="008042CC"/>
    <w:rsid w:val="0080589C"/>
    <w:rsid w:val="00805D43"/>
    <w:rsid w:val="0081040D"/>
    <w:rsid w:val="00811DCA"/>
    <w:rsid w:val="00812060"/>
    <w:rsid w:val="00813021"/>
    <w:rsid w:val="008131B0"/>
    <w:rsid w:val="00814C93"/>
    <w:rsid w:val="00816A1F"/>
    <w:rsid w:val="008175FB"/>
    <w:rsid w:val="008206C7"/>
    <w:rsid w:val="00827952"/>
    <w:rsid w:val="00830906"/>
    <w:rsid w:val="00832034"/>
    <w:rsid w:val="00832037"/>
    <w:rsid w:val="0083443A"/>
    <w:rsid w:val="00835259"/>
    <w:rsid w:val="0083645C"/>
    <w:rsid w:val="00840A2B"/>
    <w:rsid w:val="00840FB5"/>
    <w:rsid w:val="008467DB"/>
    <w:rsid w:val="00851D3E"/>
    <w:rsid w:val="00852366"/>
    <w:rsid w:val="00852C9E"/>
    <w:rsid w:val="00852D87"/>
    <w:rsid w:val="00855ED7"/>
    <w:rsid w:val="00857366"/>
    <w:rsid w:val="00857F00"/>
    <w:rsid w:val="008749A0"/>
    <w:rsid w:val="00880341"/>
    <w:rsid w:val="008810C2"/>
    <w:rsid w:val="008811CF"/>
    <w:rsid w:val="008815F8"/>
    <w:rsid w:val="00883852"/>
    <w:rsid w:val="00883ABA"/>
    <w:rsid w:val="00885E70"/>
    <w:rsid w:val="00886FA7"/>
    <w:rsid w:val="00887466"/>
    <w:rsid w:val="008876ED"/>
    <w:rsid w:val="00887BC4"/>
    <w:rsid w:val="00887ECC"/>
    <w:rsid w:val="008936D9"/>
    <w:rsid w:val="00893777"/>
    <w:rsid w:val="00893B3A"/>
    <w:rsid w:val="00894BF1"/>
    <w:rsid w:val="008965CB"/>
    <w:rsid w:val="00896826"/>
    <w:rsid w:val="008A3DA4"/>
    <w:rsid w:val="008A4AB8"/>
    <w:rsid w:val="008A5387"/>
    <w:rsid w:val="008A54D0"/>
    <w:rsid w:val="008A6001"/>
    <w:rsid w:val="008B0699"/>
    <w:rsid w:val="008B5E4F"/>
    <w:rsid w:val="008C204E"/>
    <w:rsid w:val="008C4A11"/>
    <w:rsid w:val="008C6152"/>
    <w:rsid w:val="008D21E5"/>
    <w:rsid w:val="008D35D4"/>
    <w:rsid w:val="008D5A2F"/>
    <w:rsid w:val="008D60B4"/>
    <w:rsid w:val="008D7F16"/>
    <w:rsid w:val="008E113A"/>
    <w:rsid w:val="008E1896"/>
    <w:rsid w:val="008E5707"/>
    <w:rsid w:val="008E5B5E"/>
    <w:rsid w:val="008E6F84"/>
    <w:rsid w:val="008E70B2"/>
    <w:rsid w:val="008E7CA1"/>
    <w:rsid w:val="008F0EDB"/>
    <w:rsid w:val="008F0FD7"/>
    <w:rsid w:val="008F14E5"/>
    <w:rsid w:val="008F230C"/>
    <w:rsid w:val="008F2492"/>
    <w:rsid w:val="008F2938"/>
    <w:rsid w:val="008F2973"/>
    <w:rsid w:val="008F4490"/>
    <w:rsid w:val="008F4772"/>
    <w:rsid w:val="0090156A"/>
    <w:rsid w:val="00901D43"/>
    <w:rsid w:val="00901D82"/>
    <w:rsid w:val="00905878"/>
    <w:rsid w:val="0090606A"/>
    <w:rsid w:val="00907881"/>
    <w:rsid w:val="00910B85"/>
    <w:rsid w:val="00911289"/>
    <w:rsid w:val="0091218E"/>
    <w:rsid w:val="00913957"/>
    <w:rsid w:val="00914DE0"/>
    <w:rsid w:val="0091630B"/>
    <w:rsid w:val="009172A4"/>
    <w:rsid w:val="0091763A"/>
    <w:rsid w:val="00920961"/>
    <w:rsid w:val="00923F68"/>
    <w:rsid w:val="009243AE"/>
    <w:rsid w:val="00925559"/>
    <w:rsid w:val="009257EC"/>
    <w:rsid w:val="009272F6"/>
    <w:rsid w:val="00933C24"/>
    <w:rsid w:val="00934BDE"/>
    <w:rsid w:val="009352C7"/>
    <w:rsid w:val="00943E08"/>
    <w:rsid w:val="009445F8"/>
    <w:rsid w:val="00946D7F"/>
    <w:rsid w:val="0094700C"/>
    <w:rsid w:val="00950B9C"/>
    <w:rsid w:val="0095240B"/>
    <w:rsid w:val="009532DC"/>
    <w:rsid w:val="00955ADD"/>
    <w:rsid w:val="00956D1D"/>
    <w:rsid w:val="0095718E"/>
    <w:rsid w:val="00962D95"/>
    <w:rsid w:val="00963C1B"/>
    <w:rsid w:val="0096544D"/>
    <w:rsid w:val="0096567C"/>
    <w:rsid w:val="00970610"/>
    <w:rsid w:val="009735DC"/>
    <w:rsid w:val="00975D01"/>
    <w:rsid w:val="00977191"/>
    <w:rsid w:val="009816BB"/>
    <w:rsid w:val="009826C3"/>
    <w:rsid w:val="009838A0"/>
    <w:rsid w:val="00985C5B"/>
    <w:rsid w:val="0098609C"/>
    <w:rsid w:val="009879AE"/>
    <w:rsid w:val="009903B6"/>
    <w:rsid w:val="009904C4"/>
    <w:rsid w:val="0099133E"/>
    <w:rsid w:val="00991F40"/>
    <w:rsid w:val="00993303"/>
    <w:rsid w:val="00996435"/>
    <w:rsid w:val="00997D0A"/>
    <w:rsid w:val="00997D37"/>
    <w:rsid w:val="009A0FCD"/>
    <w:rsid w:val="009A1E4B"/>
    <w:rsid w:val="009A58EF"/>
    <w:rsid w:val="009A73A9"/>
    <w:rsid w:val="009B15D5"/>
    <w:rsid w:val="009B2592"/>
    <w:rsid w:val="009B5644"/>
    <w:rsid w:val="009B6C92"/>
    <w:rsid w:val="009C047F"/>
    <w:rsid w:val="009C23CD"/>
    <w:rsid w:val="009C4FA4"/>
    <w:rsid w:val="009C628E"/>
    <w:rsid w:val="009C7286"/>
    <w:rsid w:val="009C755E"/>
    <w:rsid w:val="009D08DD"/>
    <w:rsid w:val="009D1A1E"/>
    <w:rsid w:val="009D3992"/>
    <w:rsid w:val="009E0EEA"/>
    <w:rsid w:val="009E173E"/>
    <w:rsid w:val="009E2E4F"/>
    <w:rsid w:val="009E3E83"/>
    <w:rsid w:val="009E633C"/>
    <w:rsid w:val="009F268F"/>
    <w:rsid w:val="009F33F9"/>
    <w:rsid w:val="00A016BE"/>
    <w:rsid w:val="00A029D5"/>
    <w:rsid w:val="00A04706"/>
    <w:rsid w:val="00A062EC"/>
    <w:rsid w:val="00A10408"/>
    <w:rsid w:val="00A11BA5"/>
    <w:rsid w:val="00A12D7A"/>
    <w:rsid w:val="00A15A5A"/>
    <w:rsid w:val="00A1662D"/>
    <w:rsid w:val="00A16F0D"/>
    <w:rsid w:val="00A17327"/>
    <w:rsid w:val="00A20490"/>
    <w:rsid w:val="00A20E8C"/>
    <w:rsid w:val="00A2113C"/>
    <w:rsid w:val="00A21B6C"/>
    <w:rsid w:val="00A24F53"/>
    <w:rsid w:val="00A2593E"/>
    <w:rsid w:val="00A3088B"/>
    <w:rsid w:val="00A30D7B"/>
    <w:rsid w:val="00A332CB"/>
    <w:rsid w:val="00A34DA0"/>
    <w:rsid w:val="00A40CD2"/>
    <w:rsid w:val="00A40E66"/>
    <w:rsid w:val="00A4235B"/>
    <w:rsid w:val="00A423F0"/>
    <w:rsid w:val="00A442AA"/>
    <w:rsid w:val="00A449A8"/>
    <w:rsid w:val="00A467E9"/>
    <w:rsid w:val="00A46E50"/>
    <w:rsid w:val="00A51813"/>
    <w:rsid w:val="00A52540"/>
    <w:rsid w:val="00A536D6"/>
    <w:rsid w:val="00A542B1"/>
    <w:rsid w:val="00A5559C"/>
    <w:rsid w:val="00A5606B"/>
    <w:rsid w:val="00A57D64"/>
    <w:rsid w:val="00A61694"/>
    <w:rsid w:val="00A62418"/>
    <w:rsid w:val="00A62FDE"/>
    <w:rsid w:val="00A63A35"/>
    <w:rsid w:val="00A65050"/>
    <w:rsid w:val="00A6575D"/>
    <w:rsid w:val="00A65A89"/>
    <w:rsid w:val="00A70708"/>
    <w:rsid w:val="00A70CF7"/>
    <w:rsid w:val="00A71A4D"/>
    <w:rsid w:val="00A73816"/>
    <w:rsid w:val="00A7644D"/>
    <w:rsid w:val="00A769F3"/>
    <w:rsid w:val="00A76CCC"/>
    <w:rsid w:val="00A77BE7"/>
    <w:rsid w:val="00A81B91"/>
    <w:rsid w:val="00A82CEC"/>
    <w:rsid w:val="00A8382A"/>
    <w:rsid w:val="00A84438"/>
    <w:rsid w:val="00A87F4C"/>
    <w:rsid w:val="00A90C41"/>
    <w:rsid w:val="00A9132A"/>
    <w:rsid w:val="00A926CD"/>
    <w:rsid w:val="00A92E3A"/>
    <w:rsid w:val="00A959F1"/>
    <w:rsid w:val="00A95FC1"/>
    <w:rsid w:val="00AA2D31"/>
    <w:rsid w:val="00AA5AB5"/>
    <w:rsid w:val="00AA6F88"/>
    <w:rsid w:val="00AB0EE0"/>
    <w:rsid w:val="00AB1380"/>
    <w:rsid w:val="00AB456D"/>
    <w:rsid w:val="00AC057E"/>
    <w:rsid w:val="00AC5461"/>
    <w:rsid w:val="00AC6484"/>
    <w:rsid w:val="00AD24FA"/>
    <w:rsid w:val="00AD5D51"/>
    <w:rsid w:val="00AD5E67"/>
    <w:rsid w:val="00AD651E"/>
    <w:rsid w:val="00AD6527"/>
    <w:rsid w:val="00AE2535"/>
    <w:rsid w:val="00AE2B67"/>
    <w:rsid w:val="00AE2FDB"/>
    <w:rsid w:val="00AE56BD"/>
    <w:rsid w:val="00AE73D4"/>
    <w:rsid w:val="00AE741C"/>
    <w:rsid w:val="00AF0102"/>
    <w:rsid w:val="00AF13BE"/>
    <w:rsid w:val="00AF14C7"/>
    <w:rsid w:val="00AF1656"/>
    <w:rsid w:val="00AF3B84"/>
    <w:rsid w:val="00AF3CE2"/>
    <w:rsid w:val="00AF6722"/>
    <w:rsid w:val="00B002F7"/>
    <w:rsid w:val="00B00A39"/>
    <w:rsid w:val="00B01134"/>
    <w:rsid w:val="00B01277"/>
    <w:rsid w:val="00B06FD2"/>
    <w:rsid w:val="00B078FF"/>
    <w:rsid w:val="00B10278"/>
    <w:rsid w:val="00B109D8"/>
    <w:rsid w:val="00B10EC6"/>
    <w:rsid w:val="00B116B1"/>
    <w:rsid w:val="00B119EC"/>
    <w:rsid w:val="00B1542F"/>
    <w:rsid w:val="00B1609A"/>
    <w:rsid w:val="00B161D6"/>
    <w:rsid w:val="00B22ED7"/>
    <w:rsid w:val="00B25D41"/>
    <w:rsid w:val="00B306C9"/>
    <w:rsid w:val="00B30820"/>
    <w:rsid w:val="00B32FFD"/>
    <w:rsid w:val="00B34336"/>
    <w:rsid w:val="00B358F0"/>
    <w:rsid w:val="00B35AB3"/>
    <w:rsid w:val="00B370D6"/>
    <w:rsid w:val="00B466AB"/>
    <w:rsid w:val="00B47F25"/>
    <w:rsid w:val="00B506A2"/>
    <w:rsid w:val="00B55147"/>
    <w:rsid w:val="00B566DA"/>
    <w:rsid w:val="00B61394"/>
    <w:rsid w:val="00B62B56"/>
    <w:rsid w:val="00B66303"/>
    <w:rsid w:val="00B67402"/>
    <w:rsid w:val="00B72C07"/>
    <w:rsid w:val="00B73860"/>
    <w:rsid w:val="00B743E9"/>
    <w:rsid w:val="00B800D7"/>
    <w:rsid w:val="00B80F05"/>
    <w:rsid w:val="00B81778"/>
    <w:rsid w:val="00B81DF2"/>
    <w:rsid w:val="00B82618"/>
    <w:rsid w:val="00B829CA"/>
    <w:rsid w:val="00B877C7"/>
    <w:rsid w:val="00B92518"/>
    <w:rsid w:val="00B9341C"/>
    <w:rsid w:val="00B93EE0"/>
    <w:rsid w:val="00B94BF5"/>
    <w:rsid w:val="00B97E68"/>
    <w:rsid w:val="00BA314F"/>
    <w:rsid w:val="00BA3339"/>
    <w:rsid w:val="00BA69E2"/>
    <w:rsid w:val="00BA7CE6"/>
    <w:rsid w:val="00BB1740"/>
    <w:rsid w:val="00BB2637"/>
    <w:rsid w:val="00BB36D7"/>
    <w:rsid w:val="00BB3A50"/>
    <w:rsid w:val="00BB5375"/>
    <w:rsid w:val="00BB6ABA"/>
    <w:rsid w:val="00BC1B71"/>
    <w:rsid w:val="00BC23A0"/>
    <w:rsid w:val="00BC447C"/>
    <w:rsid w:val="00BC48FD"/>
    <w:rsid w:val="00BC5E21"/>
    <w:rsid w:val="00BC74E7"/>
    <w:rsid w:val="00BD02D0"/>
    <w:rsid w:val="00BD11A0"/>
    <w:rsid w:val="00BD18AC"/>
    <w:rsid w:val="00BD224B"/>
    <w:rsid w:val="00BD2481"/>
    <w:rsid w:val="00BD408E"/>
    <w:rsid w:val="00BE0E80"/>
    <w:rsid w:val="00BE1A42"/>
    <w:rsid w:val="00BE63E0"/>
    <w:rsid w:val="00BE68FA"/>
    <w:rsid w:val="00BE6A07"/>
    <w:rsid w:val="00BF2143"/>
    <w:rsid w:val="00BF43AA"/>
    <w:rsid w:val="00BF5B24"/>
    <w:rsid w:val="00C04F10"/>
    <w:rsid w:val="00C062AF"/>
    <w:rsid w:val="00C0713B"/>
    <w:rsid w:val="00C07FFB"/>
    <w:rsid w:val="00C115EC"/>
    <w:rsid w:val="00C165B8"/>
    <w:rsid w:val="00C168CE"/>
    <w:rsid w:val="00C244D6"/>
    <w:rsid w:val="00C25C99"/>
    <w:rsid w:val="00C264CC"/>
    <w:rsid w:val="00C26AA0"/>
    <w:rsid w:val="00C31E34"/>
    <w:rsid w:val="00C33A72"/>
    <w:rsid w:val="00C345BB"/>
    <w:rsid w:val="00C36B0D"/>
    <w:rsid w:val="00C42CD7"/>
    <w:rsid w:val="00C43D0B"/>
    <w:rsid w:val="00C43EA0"/>
    <w:rsid w:val="00C446DE"/>
    <w:rsid w:val="00C44F41"/>
    <w:rsid w:val="00C45007"/>
    <w:rsid w:val="00C4549B"/>
    <w:rsid w:val="00C4637D"/>
    <w:rsid w:val="00C5008C"/>
    <w:rsid w:val="00C51D9C"/>
    <w:rsid w:val="00C51EC1"/>
    <w:rsid w:val="00C54D0F"/>
    <w:rsid w:val="00C5658A"/>
    <w:rsid w:val="00C577AF"/>
    <w:rsid w:val="00C57FD3"/>
    <w:rsid w:val="00C604FA"/>
    <w:rsid w:val="00C60689"/>
    <w:rsid w:val="00C61E5E"/>
    <w:rsid w:val="00C640AF"/>
    <w:rsid w:val="00C646A6"/>
    <w:rsid w:val="00C64CE7"/>
    <w:rsid w:val="00C70BFB"/>
    <w:rsid w:val="00C71727"/>
    <w:rsid w:val="00C72B7A"/>
    <w:rsid w:val="00C72FCA"/>
    <w:rsid w:val="00C733C4"/>
    <w:rsid w:val="00C75037"/>
    <w:rsid w:val="00C853AA"/>
    <w:rsid w:val="00C9072A"/>
    <w:rsid w:val="00C90B6F"/>
    <w:rsid w:val="00C93317"/>
    <w:rsid w:val="00C93623"/>
    <w:rsid w:val="00C9481F"/>
    <w:rsid w:val="00C94B64"/>
    <w:rsid w:val="00CA1FD5"/>
    <w:rsid w:val="00CA2CE4"/>
    <w:rsid w:val="00CA73C2"/>
    <w:rsid w:val="00CB4432"/>
    <w:rsid w:val="00CB7075"/>
    <w:rsid w:val="00CB7D25"/>
    <w:rsid w:val="00CC03DE"/>
    <w:rsid w:val="00CC4280"/>
    <w:rsid w:val="00CC5355"/>
    <w:rsid w:val="00CC5B02"/>
    <w:rsid w:val="00CC64FD"/>
    <w:rsid w:val="00CD3A66"/>
    <w:rsid w:val="00CD4B3D"/>
    <w:rsid w:val="00CD624C"/>
    <w:rsid w:val="00CD666E"/>
    <w:rsid w:val="00CD6864"/>
    <w:rsid w:val="00CD7994"/>
    <w:rsid w:val="00CE2CF0"/>
    <w:rsid w:val="00CE425E"/>
    <w:rsid w:val="00CE64C5"/>
    <w:rsid w:val="00CE661E"/>
    <w:rsid w:val="00CE7E06"/>
    <w:rsid w:val="00CF3E58"/>
    <w:rsid w:val="00CF4DF1"/>
    <w:rsid w:val="00D0020C"/>
    <w:rsid w:val="00D005BB"/>
    <w:rsid w:val="00D043C5"/>
    <w:rsid w:val="00D04695"/>
    <w:rsid w:val="00D056AB"/>
    <w:rsid w:val="00D17DF9"/>
    <w:rsid w:val="00D17F99"/>
    <w:rsid w:val="00D22A97"/>
    <w:rsid w:val="00D2447D"/>
    <w:rsid w:val="00D24CF0"/>
    <w:rsid w:val="00D41148"/>
    <w:rsid w:val="00D42D85"/>
    <w:rsid w:val="00D444B3"/>
    <w:rsid w:val="00D444E3"/>
    <w:rsid w:val="00D46B86"/>
    <w:rsid w:val="00D533DD"/>
    <w:rsid w:val="00D57608"/>
    <w:rsid w:val="00D61363"/>
    <w:rsid w:val="00D628D6"/>
    <w:rsid w:val="00D63F1C"/>
    <w:rsid w:val="00D64B4F"/>
    <w:rsid w:val="00D66E09"/>
    <w:rsid w:val="00D67A8A"/>
    <w:rsid w:val="00D7373E"/>
    <w:rsid w:val="00D75366"/>
    <w:rsid w:val="00D76AA6"/>
    <w:rsid w:val="00D8153B"/>
    <w:rsid w:val="00D83A54"/>
    <w:rsid w:val="00D83FE3"/>
    <w:rsid w:val="00D84A2A"/>
    <w:rsid w:val="00D8528B"/>
    <w:rsid w:val="00D87667"/>
    <w:rsid w:val="00D87C9C"/>
    <w:rsid w:val="00D91A6E"/>
    <w:rsid w:val="00D95888"/>
    <w:rsid w:val="00D97450"/>
    <w:rsid w:val="00DA0374"/>
    <w:rsid w:val="00DA04D2"/>
    <w:rsid w:val="00DA2B8F"/>
    <w:rsid w:val="00DA60FE"/>
    <w:rsid w:val="00DB013D"/>
    <w:rsid w:val="00DB355D"/>
    <w:rsid w:val="00DB4922"/>
    <w:rsid w:val="00DB51DE"/>
    <w:rsid w:val="00DB61F8"/>
    <w:rsid w:val="00DB6A9B"/>
    <w:rsid w:val="00DB751A"/>
    <w:rsid w:val="00DC2B13"/>
    <w:rsid w:val="00DC4123"/>
    <w:rsid w:val="00DC4F86"/>
    <w:rsid w:val="00DC5170"/>
    <w:rsid w:val="00DC59FF"/>
    <w:rsid w:val="00DC65A4"/>
    <w:rsid w:val="00DC6D97"/>
    <w:rsid w:val="00DC7BCF"/>
    <w:rsid w:val="00DD104B"/>
    <w:rsid w:val="00DD43B5"/>
    <w:rsid w:val="00DD5499"/>
    <w:rsid w:val="00DD6091"/>
    <w:rsid w:val="00DD6EF4"/>
    <w:rsid w:val="00DE0A5D"/>
    <w:rsid w:val="00DE5E6F"/>
    <w:rsid w:val="00DE75B2"/>
    <w:rsid w:val="00DF194C"/>
    <w:rsid w:val="00DF1F62"/>
    <w:rsid w:val="00DF5389"/>
    <w:rsid w:val="00DF58BD"/>
    <w:rsid w:val="00DF6804"/>
    <w:rsid w:val="00DF6BCE"/>
    <w:rsid w:val="00E00EA0"/>
    <w:rsid w:val="00E01955"/>
    <w:rsid w:val="00E033A6"/>
    <w:rsid w:val="00E034EA"/>
    <w:rsid w:val="00E045E8"/>
    <w:rsid w:val="00E046DF"/>
    <w:rsid w:val="00E057B0"/>
    <w:rsid w:val="00E12DE3"/>
    <w:rsid w:val="00E1370D"/>
    <w:rsid w:val="00E14C8C"/>
    <w:rsid w:val="00E15B8B"/>
    <w:rsid w:val="00E16343"/>
    <w:rsid w:val="00E2098E"/>
    <w:rsid w:val="00E2285F"/>
    <w:rsid w:val="00E23031"/>
    <w:rsid w:val="00E231C0"/>
    <w:rsid w:val="00E24586"/>
    <w:rsid w:val="00E25DBF"/>
    <w:rsid w:val="00E26505"/>
    <w:rsid w:val="00E27B89"/>
    <w:rsid w:val="00E3070B"/>
    <w:rsid w:val="00E34AE6"/>
    <w:rsid w:val="00E415CC"/>
    <w:rsid w:val="00E448D6"/>
    <w:rsid w:val="00E463A1"/>
    <w:rsid w:val="00E466B4"/>
    <w:rsid w:val="00E469B6"/>
    <w:rsid w:val="00E50839"/>
    <w:rsid w:val="00E50F38"/>
    <w:rsid w:val="00E539FA"/>
    <w:rsid w:val="00E53E62"/>
    <w:rsid w:val="00E55497"/>
    <w:rsid w:val="00E558ED"/>
    <w:rsid w:val="00E57E27"/>
    <w:rsid w:val="00E63BAA"/>
    <w:rsid w:val="00E63E19"/>
    <w:rsid w:val="00E64096"/>
    <w:rsid w:val="00E71490"/>
    <w:rsid w:val="00E72818"/>
    <w:rsid w:val="00E72829"/>
    <w:rsid w:val="00E7293A"/>
    <w:rsid w:val="00E74714"/>
    <w:rsid w:val="00E74BCC"/>
    <w:rsid w:val="00E75E33"/>
    <w:rsid w:val="00E7658D"/>
    <w:rsid w:val="00E774C5"/>
    <w:rsid w:val="00E77C76"/>
    <w:rsid w:val="00E81749"/>
    <w:rsid w:val="00E8419E"/>
    <w:rsid w:val="00E91A2B"/>
    <w:rsid w:val="00E923E0"/>
    <w:rsid w:val="00E94A7E"/>
    <w:rsid w:val="00E95F4D"/>
    <w:rsid w:val="00E97FEE"/>
    <w:rsid w:val="00EA033E"/>
    <w:rsid w:val="00EA06B8"/>
    <w:rsid w:val="00EA129E"/>
    <w:rsid w:val="00EA3763"/>
    <w:rsid w:val="00EA3C9D"/>
    <w:rsid w:val="00EA3E7D"/>
    <w:rsid w:val="00EA62CF"/>
    <w:rsid w:val="00EA72A0"/>
    <w:rsid w:val="00EA72CD"/>
    <w:rsid w:val="00EA7D87"/>
    <w:rsid w:val="00EB222A"/>
    <w:rsid w:val="00EB28C5"/>
    <w:rsid w:val="00EB3D53"/>
    <w:rsid w:val="00EC313B"/>
    <w:rsid w:val="00EC4502"/>
    <w:rsid w:val="00EC68DD"/>
    <w:rsid w:val="00EC7AF1"/>
    <w:rsid w:val="00ED1383"/>
    <w:rsid w:val="00ED38B0"/>
    <w:rsid w:val="00EE1085"/>
    <w:rsid w:val="00EE5A78"/>
    <w:rsid w:val="00EE7240"/>
    <w:rsid w:val="00EF568A"/>
    <w:rsid w:val="00EF64CB"/>
    <w:rsid w:val="00F027DD"/>
    <w:rsid w:val="00F02876"/>
    <w:rsid w:val="00F02FDE"/>
    <w:rsid w:val="00F0504B"/>
    <w:rsid w:val="00F0639A"/>
    <w:rsid w:val="00F06A82"/>
    <w:rsid w:val="00F07F40"/>
    <w:rsid w:val="00F125CA"/>
    <w:rsid w:val="00F15547"/>
    <w:rsid w:val="00F16972"/>
    <w:rsid w:val="00F17152"/>
    <w:rsid w:val="00F21F71"/>
    <w:rsid w:val="00F225B8"/>
    <w:rsid w:val="00F26644"/>
    <w:rsid w:val="00F27753"/>
    <w:rsid w:val="00F3015F"/>
    <w:rsid w:val="00F3126F"/>
    <w:rsid w:val="00F31B0B"/>
    <w:rsid w:val="00F3266A"/>
    <w:rsid w:val="00F338C2"/>
    <w:rsid w:val="00F34139"/>
    <w:rsid w:val="00F3473C"/>
    <w:rsid w:val="00F366B7"/>
    <w:rsid w:val="00F37E29"/>
    <w:rsid w:val="00F40BE7"/>
    <w:rsid w:val="00F40E04"/>
    <w:rsid w:val="00F4196F"/>
    <w:rsid w:val="00F4471B"/>
    <w:rsid w:val="00F520D3"/>
    <w:rsid w:val="00F54B72"/>
    <w:rsid w:val="00F61A94"/>
    <w:rsid w:val="00F622F3"/>
    <w:rsid w:val="00F62593"/>
    <w:rsid w:val="00F63AB7"/>
    <w:rsid w:val="00F66632"/>
    <w:rsid w:val="00F66FA7"/>
    <w:rsid w:val="00F72C5D"/>
    <w:rsid w:val="00F75F8A"/>
    <w:rsid w:val="00F7665E"/>
    <w:rsid w:val="00F812FA"/>
    <w:rsid w:val="00F81833"/>
    <w:rsid w:val="00F84571"/>
    <w:rsid w:val="00F855F2"/>
    <w:rsid w:val="00F860E5"/>
    <w:rsid w:val="00F912D6"/>
    <w:rsid w:val="00F92031"/>
    <w:rsid w:val="00F94844"/>
    <w:rsid w:val="00F94E17"/>
    <w:rsid w:val="00F963CD"/>
    <w:rsid w:val="00F97F9C"/>
    <w:rsid w:val="00FA0A94"/>
    <w:rsid w:val="00FA44CC"/>
    <w:rsid w:val="00FA4688"/>
    <w:rsid w:val="00FA6BAA"/>
    <w:rsid w:val="00FA7447"/>
    <w:rsid w:val="00FB10BC"/>
    <w:rsid w:val="00FB49FC"/>
    <w:rsid w:val="00FB72E5"/>
    <w:rsid w:val="00FB7BFF"/>
    <w:rsid w:val="00FC0704"/>
    <w:rsid w:val="00FC105B"/>
    <w:rsid w:val="00FC17F0"/>
    <w:rsid w:val="00FC57DD"/>
    <w:rsid w:val="00FC68A8"/>
    <w:rsid w:val="00FC78BC"/>
    <w:rsid w:val="00FC7E6B"/>
    <w:rsid w:val="00FD051A"/>
    <w:rsid w:val="00FD2E8C"/>
    <w:rsid w:val="00FD2E8F"/>
    <w:rsid w:val="00FD484E"/>
    <w:rsid w:val="00FD7F3A"/>
    <w:rsid w:val="00FE2349"/>
    <w:rsid w:val="00FE2512"/>
    <w:rsid w:val="00FE2619"/>
    <w:rsid w:val="00FE59E9"/>
    <w:rsid w:val="00FF1A5A"/>
    <w:rsid w:val="00FF2BEE"/>
    <w:rsid w:val="00FF3B7A"/>
    <w:rsid w:val="00FF4407"/>
    <w:rsid w:val="00FF54D8"/>
    <w:rsid w:val="00FF563A"/>
    <w:rsid w:val="00FF5907"/>
    <w:rsid w:val="00FF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5ED0A"/>
  <w15:chartTrackingRefBased/>
  <w15:docId w15:val="{A0B6A1B7-6CC1-44EC-BB63-B83DA01C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6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4C5"/>
  </w:style>
  <w:style w:type="paragraph" w:styleId="Footer">
    <w:name w:val="footer"/>
    <w:basedOn w:val="Normal"/>
    <w:link w:val="FooterChar"/>
    <w:uiPriority w:val="99"/>
    <w:unhideWhenUsed/>
    <w:rsid w:val="00CE6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4C5"/>
  </w:style>
  <w:style w:type="paragraph" w:styleId="ListParagraph">
    <w:name w:val="List Paragraph"/>
    <w:basedOn w:val="Normal"/>
    <w:uiPriority w:val="34"/>
    <w:qFormat/>
    <w:rsid w:val="00C42CD7"/>
    <w:pPr>
      <w:ind w:left="720"/>
      <w:contextualSpacing/>
    </w:pPr>
  </w:style>
  <w:style w:type="paragraph" w:styleId="BalloonText">
    <w:name w:val="Balloon Text"/>
    <w:basedOn w:val="Normal"/>
    <w:link w:val="BalloonTextChar"/>
    <w:uiPriority w:val="99"/>
    <w:semiHidden/>
    <w:unhideWhenUsed/>
    <w:rsid w:val="00A90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C41"/>
    <w:rPr>
      <w:rFonts w:ascii="Segoe UI" w:hAnsi="Segoe UI" w:cs="Segoe UI"/>
      <w:sz w:val="18"/>
      <w:szCs w:val="18"/>
    </w:rPr>
  </w:style>
  <w:style w:type="table" w:customStyle="1" w:styleId="PlanGrid">
    <w:name w:val="PlanGrid"/>
    <w:basedOn w:val="TableNormal"/>
    <w:uiPriority w:val="99"/>
    <w:rsid w:val="008D7F16"/>
    <w:pPr>
      <w:spacing w:after="0" w:line="240"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tcBorders>
          <w:top w:val="nil"/>
          <w:left w:val="nil"/>
          <w:bottom w:val="nil"/>
          <w:right w:val="nil"/>
          <w:insideH w:val="nil"/>
          <w:insideV w:val="nil"/>
          <w:tl2br w:val="nil"/>
          <w:tr2bl w:val="nil"/>
        </w:tcBorders>
        <w:shd w:val="clear" w:color="auto" w:fill="E1E7ED"/>
      </w:tcPr>
    </w:tblStylePr>
  </w:style>
  <w:style w:type="character" w:styleId="CommentReference">
    <w:name w:val="annotation reference"/>
    <w:basedOn w:val="DefaultParagraphFont"/>
    <w:uiPriority w:val="99"/>
    <w:semiHidden/>
    <w:unhideWhenUsed/>
    <w:rsid w:val="00653725"/>
    <w:rPr>
      <w:sz w:val="16"/>
      <w:szCs w:val="16"/>
    </w:rPr>
  </w:style>
  <w:style w:type="paragraph" w:styleId="CommentText">
    <w:name w:val="annotation text"/>
    <w:basedOn w:val="Normal"/>
    <w:link w:val="CommentTextChar"/>
    <w:uiPriority w:val="99"/>
    <w:unhideWhenUsed/>
    <w:rsid w:val="00653725"/>
    <w:pPr>
      <w:spacing w:line="240" w:lineRule="auto"/>
    </w:pPr>
    <w:rPr>
      <w:sz w:val="20"/>
      <w:szCs w:val="20"/>
    </w:rPr>
  </w:style>
  <w:style w:type="character" w:customStyle="1" w:styleId="CommentTextChar">
    <w:name w:val="Comment Text Char"/>
    <w:basedOn w:val="DefaultParagraphFont"/>
    <w:link w:val="CommentText"/>
    <w:uiPriority w:val="99"/>
    <w:rsid w:val="00653725"/>
    <w:rPr>
      <w:sz w:val="20"/>
      <w:szCs w:val="20"/>
    </w:rPr>
  </w:style>
  <w:style w:type="paragraph" w:styleId="NormalWeb">
    <w:name w:val="Normal (Web)"/>
    <w:basedOn w:val="Normal"/>
    <w:uiPriority w:val="99"/>
    <w:semiHidden/>
    <w:unhideWhenUsed/>
    <w:rsid w:val="00361591"/>
    <w:pPr>
      <w:spacing w:before="100" w:beforeAutospacing="1" w:after="100" w:afterAutospacing="1" w:line="240" w:lineRule="auto"/>
    </w:pPr>
    <w:rPr>
      <w:rFonts w:ascii="Calibri" w:hAnsi="Calibri" w:cs="Calibri"/>
    </w:rPr>
  </w:style>
  <w:style w:type="character" w:customStyle="1" w:styleId="UPAnswerChar">
    <w:name w:val="UPAnswer Char"/>
    <w:basedOn w:val="DefaultParagraphFont"/>
    <w:link w:val="UPAnswer"/>
    <w:locked/>
    <w:rsid w:val="000D009B"/>
    <w:rPr>
      <w:rFonts w:ascii="Verdana" w:hAnsi="Verdana"/>
    </w:rPr>
  </w:style>
  <w:style w:type="paragraph" w:customStyle="1" w:styleId="UPAnswer">
    <w:name w:val="UPAnswer"/>
    <w:basedOn w:val="Normal"/>
    <w:link w:val="UPAnswerChar"/>
    <w:qFormat/>
    <w:rsid w:val="000D009B"/>
    <w:pPr>
      <w:spacing w:after="0" w:line="240" w:lineRule="auto"/>
      <w:ind w:left="720"/>
      <w:jc w:val="both"/>
    </w:pPr>
    <w:rPr>
      <w:rFonts w:ascii="Verdana" w:hAnsi="Verdana"/>
    </w:rPr>
  </w:style>
  <w:style w:type="paragraph" w:customStyle="1" w:styleId="TableParagraph">
    <w:name w:val="Table Paragraph"/>
    <w:basedOn w:val="Normal"/>
    <w:uiPriority w:val="1"/>
    <w:qFormat/>
    <w:rsid w:val="006B1B86"/>
    <w:pPr>
      <w:widowControl w:val="0"/>
      <w:autoSpaceDE w:val="0"/>
      <w:autoSpaceDN w:val="0"/>
      <w:spacing w:after="0" w:line="240" w:lineRule="auto"/>
      <w:ind w:left="105"/>
    </w:pPr>
    <w:rPr>
      <w:rFonts w:ascii="Arial Unicode MS" w:eastAsia="Arial Unicode MS" w:hAnsi="Arial Unicode MS" w:cs="Arial Unicode MS"/>
    </w:rPr>
  </w:style>
  <w:style w:type="paragraph" w:customStyle="1" w:styleId="Default">
    <w:name w:val="Default"/>
    <w:basedOn w:val="Normal"/>
    <w:rsid w:val="009A58EF"/>
    <w:pPr>
      <w:autoSpaceDE w:val="0"/>
      <w:autoSpaceDN w:val="0"/>
      <w:spacing w:after="0" w:line="240" w:lineRule="auto"/>
    </w:pPr>
    <w:rPr>
      <w:rFonts w:ascii="Verdana" w:hAnsi="Verdana" w:cs="Calibri"/>
      <w:color w:val="000000"/>
      <w:sz w:val="24"/>
      <w:szCs w:val="24"/>
    </w:rPr>
  </w:style>
  <w:style w:type="paragraph" w:styleId="BodyText">
    <w:name w:val="Body Text"/>
    <w:basedOn w:val="Normal"/>
    <w:link w:val="BodyTextChar"/>
    <w:uiPriority w:val="99"/>
    <w:semiHidden/>
    <w:unhideWhenUsed/>
    <w:rsid w:val="002B0048"/>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2B00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844">
      <w:bodyDiv w:val="1"/>
      <w:marLeft w:val="0"/>
      <w:marRight w:val="0"/>
      <w:marTop w:val="0"/>
      <w:marBottom w:val="0"/>
      <w:divBdr>
        <w:top w:val="none" w:sz="0" w:space="0" w:color="auto"/>
        <w:left w:val="none" w:sz="0" w:space="0" w:color="auto"/>
        <w:bottom w:val="none" w:sz="0" w:space="0" w:color="auto"/>
        <w:right w:val="none" w:sz="0" w:space="0" w:color="auto"/>
      </w:divBdr>
    </w:div>
    <w:div w:id="6446260">
      <w:bodyDiv w:val="1"/>
      <w:marLeft w:val="0"/>
      <w:marRight w:val="0"/>
      <w:marTop w:val="0"/>
      <w:marBottom w:val="0"/>
      <w:divBdr>
        <w:top w:val="none" w:sz="0" w:space="0" w:color="auto"/>
        <w:left w:val="none" w:sz="0" w:space="0" w:color="auto"/>
        <w:bottom w:val="none" w:sz="0" w:space="0" w:color="auto"/>
        <w:right w:val="none" w:sz="0" w:space="0" w:color="auto"/>
      </w:divBdr>
      <w:divsChild>
        <w:div w:id="718669399">
          <w:marLeft w:val="0"/>
          <w:marRight w:val="0"/>
          <w:marTop w:val="0"/>
          <w:marBottom w:val="0"/>
          <w:divBdr>
            <w:top w:val="none" w:sz="0" w:space="0" w:color="auto"/>
            <w:left w:val="none" w:sz="0" w:space="0" w:color="auto"/>
            <w:bottom w:val="none" w:sz="0" w:space="0" w:color="auto"/>
            <w:right w:val="none" w:sz="0" w:space="0" w:color="auto"/>
          </w:divBdr>
          <w:divsChild>
            <w:div w:id="127409233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77013461">
      <w:bodyDiv w:val="1"/>
      <w:marLeft w:val="0"/>
      <w:marRight w:val="0"/>
      <w:marTop w:val="0"/>
      <w:marBottom w:val="0"/>
      <w:divBdr>
        <w:top w:val="none" w:sz="0" w:space="0" w:color="auto"/>
        <w:left w:val="none" w:sz="0" w:space="0" w:color="auto"/>
        <w:bottom w:val="none" w:sz="0" w:space="0" w:color="auto"/>
        <w:right w:val="none" w:sz="0" w:space="0" w:color="auto"/>
      </w:divBdr>
    </w:div>
    <w:div w:id="331571114">
      <w:bodyDiv w:val="1"/>
      <w:marLeft w:val="0"/>
      <w:marRight w:val="0"/>
      <w:marTop w:val="0"/>
      <w:marBottom w:val="0"/>
      <w:divBdr>
        <w:top w:val="none" w:sz="0" w:space="0" w:color="auto"/>
        <w:left w:val="none" w:sz="0" w:space="0" w:color="auto"/>
        <w:bottom w:val="none" w:sz="0" w:space="0" w:color="auto"/>
        <w:right w:val="none" w:sz="0" w:space="0" w:color="auto"/>
      </w:divBdr>
    </w:div>
    <w:div w:id="390933052">
      <w:bodyDiv w:val="1"/>
      <w:marLeft w:val="0"/>
      <w:marRight w:val="0"/>
      <w:marTop w:val="0"/>
      <w:marBottom w:val="0"/>
      <w:divBdr>
        <w:top w:val="none" w:sz="0" w:space="0" w:color="auto"/>
        <w:left w:val="none" w:sz="0" w:space="0" w:color="auto"/>
        <w:bottom w:val="none" w:sz="0" w:space="0" w:color="auto"/>
        <w:right w:val="none" w:sz="0" w:space="0" w:color="auto"/>
      </w:divBdr>
    </w:div>
    <w:div w:id="400714902">
      <w:bodyDiv w:val="1"/>
      <w:marLeft w:val="0"/>
      <w:marRight w:val="0"/>
      <w:marTop w:val="0"/>
      <w:marBottom w:val="0"/>
      <w:divBdr>
        <w:top w:val="none" w:sz="0" w:space="0" w:color="auto"/>
        <w:left w:val="none" w:sz="0" w:space="0" w:color="auto"/>
        <w:bottom w:val="none" w:sz="0" w:space="0" w:color="auto"/>
        <w:right w:val="none" w:sz="0" w:space="0" w:color="auto"/>
      </w:divBdr>
    </w:div>
    <w:div w:id="470171653">
      <w:bodyDiv w:val="1"/>
      <w:marLeft w:val="0"/>
      <w:marRight w:val="0"/>
      <w:marTop w:val="0"/>
      <w:marBottom w:val="0"/>
      <w:divBdr>
        <w:top w:val="none" w:sz="0" w:space="0" w:color="auto"/>
        <w:left w:val="none" w:sz="0" w:space="0" w:color="auto"/>
        <w:bottom w:val="none" w:sz="0" w:space="0" w:color="auto"/>
        <w:right w:val="none" w:sz="0" w:space="0" w:color="auto"/>
      </w:divBdr>
    </w:div>
    <w:div w:id="499388389">
      <w:bodyDiv w:val="1"/>
      <w:marLeft w:val="0"/>
      <w:marRight w:val="0"/>
      <w:marTop w:val="0"/>
      <w:marBottom w:val="0"/>
      <w:divBdr>
        <w:top w:val="none" w:sz="0" w:space="0" w:color="auto"/>
        <w:left w:val="none" w:sz="0" w:space="0" w:color="auto"/>
        <w:bottom w:val="none" w:sz="0" w:space="0" w:color="auto"/>
        <w:right w:val="none" w:sz="0" w:space="0" w:color="auto"/>
      </w:divBdr>
    </w:div>
    <w:div w:id="583996144">
      <w:bodyDiv w:val="1"/>
      <w:marLeft w:val="0"/>
      <w:marRight w:val="0"/>
      <w:marTop w:val="0"/>
      <w:marBottom w:val="0"/>
      <w:divBdr>
        <w:top w:val="none" w:sz="0" w:space="0" w:color="auto"/>
        <w:left w:val="none" w:sz="0" w:space="0" w:color="auto"/>
        <w:bottom w:val="none" w:sz="0" w:space="0" w:color="auto"/>
        <w:right w:val="none" w:sz="0" w:space="0" w:color="auto"/>
      </w:divBdr>
    </w:div>
    <w:div w:id="644048571">
      <w:bodyDiv w:val="1"/>
      <w:marLeft w:val="0"/>
      <w:marRight w:val="0"/>
      <w:marTop w:val="0"/>
      <w:marBottom w:val="0"/>
      <w:divBdr>
        <w:top w:val="none" w:sz="0" w:space="0" w:color="auto"/>
        <w:left w:val="none" w:sz="0" w:space="0" w:color="auto"/>
        <w:bottom w:val="none" w:sz="0" w:space="0" w:color="auto"/>
        <w:right w:val="none" w:sz="0" w:space="0" w:color="auto"/>
      </w:divBdr>
    </w:div>
    <w:div w:id="698353730">
      <w:bodyDiv w:val="1"/>
      <w:marLeft w:val="0"/>
      <w:marRight w:val="0"/>
      <w:marTop w:val="0"/>
      <w:marBottom w:val="0"/>
      <w:divBdr>
        <w:top w:val="none" w:sz="0" w:space="0" w:color="auto"/>
        <w:left w:val="none" w:sz="0" w:space="0" w:color="auto"/>
        <w:bottom w:val="none" w:sz="0" w:space="0" w:color="auto"/>
        <w:right w:val="none" w:sz="0" w:space="0" w:color="auto"/>
      </w:divBdr>
    </w:div>
    <w:div w:id="759523547">
      <w:bodyDiv w:val="1"/>
      <w:marLeft w:val="0"/>
      <w:marRight w:val="0"/>
      <w:marTop w:val="0"/>
      <w:marBottom w:val="0"/>
      <w:divBdr>
        <w:top w:val="none" w:sz="0" w:space="0" w:color="auto"/>
        <w:left w:val="none" w:sz="0" w:space="0" w:color="auto"/>
        <w:bottom w:val="none" w:sz="0" w:space="0" w:color="auto"/>
        <w:right w:val="none" w:sz="0" w:space="0" w:color="auto"/>
      </w:divBdr>
    </w:div>
    <w:div w:id="841511988">
      <w:bodyDiv w:val="1"/>
      <w:marLeft w:val="0"/>
      <w:marRight w:val="0"/>
      <w:marTop w:val="0"/>
      <w:marBottom w:val="0"/>
      <w:divBdr>
        <w:top w:val="none" w:sz="0" w:space="0" w:color="auto"/>
        <w:left w:val="none" w:sz="0" w:space="0" w:color="auto"/>
        <w:bottom w:val="none" w:sz="0" w:space="0" w:color="auto"/>
        <w:right w:val="none" w:sz="0" w:space="0" w:color="auto"/>
      </w:divBdr>
    </w:div>
    <w:div w:id="959413579">
      <w:bodyDiv w:val="1"/>
      <w:marLeft w:val="0"/>
      <w:marRight w:val="0"/>
      <w:marTop w:val="0"/>
      <w:marBottom w:val="0"/>
      <w:divBdr>
        <w:top w:val="none" w:sz="0" w:space="0" w:color="auto"/>
        <w:left w:val="none" w:sz="0" w:space="0" w:color="auto"/>
        <w:bottom w:val="none" w:sz="0" w:space="0" w:color="auto"/>
        <w:right w:val="none" w:sz="0" w:space="0" w:color="auto"/>
      </w:divBdr>
    </w:div>
    <w:div w:id="968053899">
      <w:bodyDiv w:val="1"/>
      <w:marLeft w:val="0"/>
      <w:marRight w:val="0"/>
      <w:marTop w:val="0"/>
      <w:marBottom w:val="0"/>
      <w:divBdr>
        <w:top w:val="none" w:sz="0" w:space="0" w:color="auto"/>
        <w:left w:val="none" w:sz="0" w:space="0" w:color="auto"/>
        <w:bottom w:val="none" w:sz="0" w:space="0" w:color="auto"/>
        <w:right w:val="none" w:sz="0" w:space="0" w:color="auto"/>
      </w:divBdr>
    </w:div>
    <w:div w:id="983512481">
      <w:bodyDiv w:val="1"/>
      <w:marLeft w:val="0"/>
      <w:marRight w:val="0"/>
      <w:marTop w:val="0"/>
      <w:marBottom w:val="0"/>
      <w:divBdr>
        <w:top w:val="none" w:sz="0" w:space="0" w:color="auto"/>
        <w:left w:val="none" w:sz="0" w:space="0" w:color="auto"/>
        <w:bottom w:val="none" w:sz="0" w:space="0" w:color="auto"/>
        <w:right w:val="none" w:sz="0" w:space="0" w:color="auto"/>
      </w:divBdr>
    </w:div>
    <w:div w:id="1112166913">
      <w:bodyDiv w:val="1"/>
      <w:marLeft w:val="0"/>
      <w:marRight w:val="0"/>
      <w:marTop w:val="0"/>
      <w:marBottom w:val="0"/>
      <w:divBdr>
        <w:top w:val="none" w:sz="0" w:space="0" w:color="auto"/>
        <w:left w:val="none" w:sz="0" w:space="0" w:color="auto"/>
        <w:bottom w:val="none" w:sz="0" w:space="0" w:color="auto"/>
        <w:right w:val="none" w:sz="0" w:space="0" w:color="auto"/>
      </w:divBdr>
    </w:div>
    <w:div w:id="1315063466">
      <w:bodyDiv w:val="1"/>
      <w:marLeft w:val="0"/>
      <w:marRight w:val="0"/>
      <w:marTop w:val="0"/>
      <w:marBottom w:val="0"/>
      <w:divBdr>
        <w:top w:val="none" w:sz="0" w:space="0" w:color="auto"/>
        <w:left w:val="none" w:sz="0" w:space="0" w:color="auto"/>
        <w:bottom w:val="none" w:sz="0" w:space="0" w:color="auto"/>
        <w:right w:val="none" w:sz="0" w:space="0" w:color="auto"/>
      </w:divBdr>
    </w:div>
    <w:div w:id="1400446102">
      <w:bodyDiv w:val="1"/>
      <w:marLeft w:val="0"/>
      <w:marRight w:val="0"/>
      <w:marTop w:val="0"/>
      <w:marBottom w:val="0"/>
      <w:divBdr>
        <w:top w:val="none" w:sz="0" w:space="0" w:color="auto"/>
        <w:left w:val="none" w:sz="0" w:space="0" w:color="auto"/>
        <w:bottom w:val="none" w:sz="0" w:space="0" w:color="auto"/>
        <w:right w:val="none" w:sz="0" w:space="0" w:color="auto"/>
      </w:divBdr>
    </w:div>
    <w:div w:id="1500846859">
      <w:bodyDiv w:val="1"/>
      <w:marLeft w:val="0"/>
      <w:marRight w:val="0"/>
      <w:marTop w:val="0"/>
      <w:marBottom w:val="0"/>
      <w:divBdr>
        <w:top w:val="none" w:sz="0" w:space="0" w:color="auto"/>
        <w:left w:val="none" w:sz="0" w:space="0" w:color="auto"/>
        <w:bottom w:val="none" w:sz="0" w:space="0" w:color="auto"/>
        <w:right w:val="none" w:sz="0" w:space="0" w:color="auto"/>
      </w:divBdr>
    </w:div>
    <w:div w:id="1509326252">
      <w:bodyDiv w:val="1"/>
      <w:marLeft w:val="0"/>
      <w:marRight w:val="0"/>
      <w:marTop w:val="0"/>
      <w:marBottom w:val="0"/>
      <w:divBdr>
        <w:top w:val="none" w:sz="0" w:space="0" w:color="auto"/>
        <w:left w:val="none" w:sz="0" w:space="0" w:color="auto"/>
        <w:bottom w:val="none" w:sz="0" w:space="0" w:color="auto"/>
        <w:right w:val="none" w:sz="0" w:space="0" w:color="auto"/>
      </w:divBdr>
    </w:div>
    <w:div w:id="1601453611">
      <w:bodyDiv w:val="1"/>
      <w:marLeft w:val="0"/>
      <w:marRight w:val="0"/>
      <w:marTop w:val="0"/>
      <w:marBottom w:val="0"/>
      <w:divBdr>
        <w:top w:val="none" w:sz="0" w:space="0" w:color="auto"/>
        <w:left w:val="none" w:sz="0" w:space="0" w:color="auto"/>
        <w:bottom w:val="none" w:sz="0" w:space="0" w:color="auto"/>
        <w:right w:val="none" w:sz="0" w:space="0" w:color="auto"/>
      </w:divBdr>
    </w:div>
    <w:div w:id="1607808643">
      <w:bodyDiv w:val="1"/>
      <w:marLeft w:val="0"/>
      <w:marRight w:val="0"/>
      <w:marTop w:val="0"/>
      <w:marBottom w:val="0"/>
      <w:divBdr>
        <w:top w:val="none" w:sz="0" w:space="0" w:color="auto"/>
        <w:left w:val="none" w:sz="0" w:space="0" w:color="auto"/>
        <w:bottom w:val="none" w:sz="0" w:space="0" w:color="auto"/>
        <w:right w:val="none" w:sz="0" w:space="0" w:color="auto"/>
      </w:divBdr>
    </w:div>
    <w:div w:id="1671173301">
      <w:bodyDiv w:val="1"/>
      <w:marLeft w:val="0"/>
      <w:marRight w:val="0"/>
      <w:marTop w:val="0"/>
      <w:marBottom w:val="0"/>
      <w:divBdr>
        <w:top w:val="none" w:sz="0" w:space="0" w:color="auto"/>
        <w:left w:val="none" w:sz="0" w:space="0" w:color="auto"/>
        <w:bottom w:val="none" w:sz="0" w:space="0" w:color="auto"/>
        <w:right w:val="none" w:sz="0" w:space="0" w:color="auto"/>
      </w:divBdr>
    </w:div>
    <w:div w:id="1715353061">
      <w:bodyDiv w:val="1"/>
      <w:marLeft w:val="0"/>
      <w:marRight w:val="0"/>
      <w:marTop w:val="0"/>
      <w:marBottom w:val="0"/>
      <w:divBdr>
        <w:top w:val="none" w:sz="0" w:space="0" w:color="auto"/>
        <w:left w:val="none" w:sz="0" w:space="0" w:color="auto"/>
        <w:bottom w:val="none" w:sz="0" w:space="0" w:color="auto"/>
        <w:right w:val="none" w:sz="0" w:space="0" w:color="auto"/>
      </w:divBdr>
    </w:div>
    <w:div w:id="1921909470">
      <w:bodyDiv w:val="1"/>
      <w:marLeft w:val="0"/>
      <w:marRight w:val="0"/>
      <w:marTop w:val="0"/>
      <w:marBottom w:val="0"/>
      <w:divBdr>
        <w:top w:val="none" w:sz="0" w:space="0" w:color="auto"/>
        <w:left w:val="none" w:sz="0" w:space="0" w:color="auto"/>
        <w:bottom w:val="none" w:sz="0" w:space="0" w:color="auto"/>
        <w:right w:val="none" w:sz="0" w:space="0" w:color="auto"/>
      </w:divBdr>
    </w:div>
    <w:div w:id="1944998670">
      <w:bodyDiv w:val="1"/>
      <w:marLeft w:val="0"/>
      <w:marRight w:val="0"/>
      <w:marTop w:val="0"/>
      <w:marBottom w:val="0"/>
      <w:divBdr>
        <w:top w:val="none" w:sz="0" w:space="0" w:color="auto"/>
        <w:left w:val="none" w:sz="0" w:space="0" w:color="auto"/>
        <w:bottom w:val="none" w:sz="0" w:space="0" w:color="auto"/>
        <w:right w:val="none" w:sz="0" w:space="0" w:color="auto"/>
      </w:divBdr>
    </w:div>
    <w:div w:id="2010402161">
      <w:bodyDiv w:val="1"/>
      <w:marLeft w:val="0"/>
      <w:marRight w:val="0"/>
      <w:marTop w:val="0"/>
      <w:marBottom w:val="0"/>
      <w:divBdr>
        <w:top w:val="none" w:sz="0" w:space="0" w:color="auto"/>
        <w:left w:val="none" w:sz="0" w:space="0" w:color="auto"/>
        <w:bottom w:val="none" w:sz="0" w:space="0" w:color="auto"/>
        <w:right w:val="none" w:sz="0" w:space="0" w:color="auto"/>
      </w:divBdr>
    </w:div>
    <w:div w:id="2026252090">
      <w:bodyDiv w:val="1"/>
      <w:marLeft w:val="0"/>
      <w:marRight w:val="0"/>
      <w:marTop w:val="0"/>
      <w:marBottom w:val="0"/>
      <w:divBdr>
        <w:top w:val="none" w:sz="0" w:space="0" w:color="auto"/>
        <w:left w:val="none" w:sz="0" w:space="0" w:color="auto"/>
        <w:bottom w:val="none" w:sz="0" w:space="0" w:color="auto"/>
        <w:right w:val="none" w:sz="0" w:space="0" w:color="auto"/>
      </w:divBdr>
    </w:div>
    <w:div w:id="20273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0AAFF-650E-4F92-9D25-D118C085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Navolt, Dawn I</dc:creator>
  <cp:keywords/>
  <dc:description/>
  <cp:lastModifiedBy>Don DiPlacido</cp:lastModifiedBy>
  <cp:revision>2</cp:revision>
  <cp:lastPrinted>2019-11-26T18:51:00Z</cp:lastPrinted>
  <dcterms:created xsi:type="dcterms:W3CDTF">2024-09-09T15:37:00Z</dcterms:created>
  <dcterms:modified xsi:type="dcterms:W3CDTF">2024-09-09T15:37:00Z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1154388430</vt:i4>
  </property>
</Properties>
</file>